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Default="009D5159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 xml:space="preserve">RESOLUTION NO. _____ - </w:t>
      </w:r>
      <w:r w:rsidR="006A6655">
        <w:rPr>
          <w:b/>
          <w:sz w:val="28"/>
        </w:rPr>
        <w:t>2019</w:t>
      </w:r>
    </w:p>
    <w:p w:rsidR="00A671BB" w:rsidRDefault="00A671BB">
      <w:pPr>
        <w:pStyle w:val="DefaultText"/>
        <w:jc w:val="center"/>
        <w:rPr>
          <w:b/>
        </w:rPr>
      </w:pPr>
    </w:p>
    <w:p w:rsidR="009054F0" w:rsidRPr="00D9467F" w:rsidRDefault="00C61FC5" w:rsidP="00CB567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center"/>
        <w:rPr>
          <w:rStyle w:val="InitialStyle"/>
          <w:rFonts w:ascii="Times New Roman" w:hAnsi="Times New Roman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4083685</wp:posOffset>
                </wp:positionV>
                <wp:extent cx="5913120" cy="333375"/>
                <wp:effectExtent l="0" t="0" r="1143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3D4E12" w:rsidRDefault="00D300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  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394B25">
                              <w:rPr>
                                <w:b/>
                              </w:rPr>
                              <w:t xml:space="preserve">   [</w:t>
                            </w:r>
                            <w:r w:rsidR="00530FBF">
                              <w:rPr>
                                <w:b/>
                              </w:rPr>
                              <w:t>X</w:t>
                            </w:r>
                            <w:r w:rsidR="00394B25">
                              <w:rPr>
                                <w:b/>
                              </w:rPr>
                              <w:t xml:space="preserve"> </w:t>
                            </w:r>
                            <w:r w:rsidR="001E4083" w:rsidRPr="0018238D">
                              <w:rPr>
                                <w:b/>
                              </w:rPr>
                              <w:t>] Budgeted E</w:t>
                            </w:r>
                            <w:r w:rsidR="003D4E12">
                              <w:rPr>
                                <w:b/>
                              </w:rPr>
                              <w:t>xpenditure    [</w:t>
                            </w:r>
                            <w:r w:rsidR="000765C0">
                              <w:rPr>
                                <w:b/>
                              </w:rPr>
                              <w:t xml:space="preserve">  </w:t>
                            </w:r>
                            <w:r w:rsidR="003D4E12">
                              <w:rPr>
                                <w:b/>
                              </w:rPr>
                              <w:t>] Not Budgeted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75pt;margin-top:321.55pt;width:465.6pt;height:26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">
                <v:textbox>
                  <w:txbxContent>
                    <w:p w:rsidR="001E4083" w:rsidRPr="003D4E12" w:rsidRDefault="00D300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  ] </w:t>
                      </w:r>
                      <w:r>
                        <w:rPr>
                          <w:b/>
                        </w:rPr>
                        <w:t>None</w:t>
                      </w:r>
                      <w:r w:rsidR="00394B25">
                        <w:rPr>
                          <w:b/>
                        </w:rPr>
                        <w:t xml:space="preserve">   [</w:t>
                      </w:r>
                      <w:r w:rsidR="00530FBF">
                        <w:rPr>
                          <w:b/>
                        </w:rPr>
                        <w:t>X</w:t>
                      </w:r>
                      <w:r w:rsidR="00394B25">
                        <w:rPr>
                          <w:b/>
                        </w:rPr>
                        <w:t xml:space="preserve"> </w:t>
                      </w:r>
                      <w:r w:rsidR="001E4083" w:rsidRPr="0018238D">
                        <w:rPr>
                          <w:b/>
                        </w:rPr>
                        <w:t>] Budgeted E</w:t>
                      </w:r>
                      <w:r w:rsidR="003D4E12">
                        <w:rPr>
                          <w:b/>
                        </w:rPr>
                        <w:t>xpenditure    [</w:t>
                      </w:r>
                      <w:r w:rsidR="000765C0">
                        <w:rPr>
                          <w:b/>
                        </w:rPr>
                        <w:t xml:space="preserve">  </w:t>
                      </w:r>
                      <w:r w:rsidR="003D4E12">
                        <w:rPr>
                          <w:b/>
                        </w:rPr>
                        <w:t>] Not Budgeted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4A16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797560</wp:posOffset>
                </wp:positionV>
                <wp:extent cx="5913120" cy="3286125"/>
                <wp:effectExtent l="0" t="0" r="1143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59274C" w:rsidRDefault="00D71859" w:rsidP="009054F0">
                            <w:pPr>
                              <w:pStyle w:val="DefaultText"/>
                            </w:pPr>
                            <w:r>
                              <w:rPr>
                                <w:b/>
                                <w:i/>
                              </w:rPr>
                              <w:t>Background:</w:t>
                            </w:r>
                            <w:r w:rsidR="00037FE6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512E8C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The current layout and </w:t>
                            </w:r>
                            <w:r w:rsidR="007A12AD">
                              <w:rPr>
                                <w:rStyle w:val="InitialStyle"/>
                                <w:rFonts w:ascii="Times New Roman" w:hAnsi="Times New Roman"/>
                              </w:rPr>
                              <w:t>u</w:t>
                            </w:r>
                            <w:r w:rsidR="00512E8C">
                              <w:rPr>
                                <w:rStyle w:val="InitialStyle"/>
                                <w:rFonts w:ascii="Times New Roman" w:hAnsi="Times New Roman"/>
                              </w:rPr>
                              <w:t>s</w:t>
                            </w:r>
                            <w:r w:rsidR="007A12AD">
                              <w:rPr>
                                <w:rStyle w:val="InitialStyle"/>
                                <w:rFonts w:ascii="Times New Roman" w:hAnsi="Times New Roman"/>
                              </w:rPr>
                              <w:t>e of Sauk County facilities is not practical for current and future day-to-day operations</w:t>
                            </w:r>
                            <w:r w:rsidR="00A13357">
                              <w:rPr>
                                <w:rStyle w:val="InitialStyle"/>
                                <w:rFonts w:ascii="Times New Roman" w:hAnsi="Times New Roman"/>
                              </w:rPr>
                              <w:t>.  A security analysis of the facilities was conducted in 2016,</w:t>
                            </w:r>
                            <w:r w:rsidR="00150CA4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along with a</w:t>
                            </w:r>
                            <w:r w:rsidR="00A13357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space needs assessment </w:t>
                            </w:r>
                            <w:r w:rsidR="009C4A16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in 2019.  Both the security analysis and space needs study identified numerous deficiencies in the Sauk County facilities from a security and space utilization standpoint. </w:t>
                            </w:r>
                            <w:r w:rsidR="00150CA4">
                              <w:rPr>
                                <w:rStyle w:val="InitialStyle"/>
                                <w:rFonts w:ascii="Times New Roman" w:hAnsi="Times New Roman"/>
                              </w:rPr>
                              <w:t>The 2019 s</w:t>
                            </w:r>
                            <w:r w:rsidR="009C4A16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pace needs assessment identified </w:t>
                            </w:r>
                            <w:r w:rsidR="00150CA4">
                              <w:rPr>
                                <w:rStyle w:val="InitialStyle"/>
                                <w:rFonts w:ascii="Times New Roman" w:hAnsi="Times New Roman"/>
                              </w:rPr>
                              <w:t>the highest priority places needing</w:t>
                            </w:r>
                            <w:r w:rsidR="009C4A16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attention and grouped those areas together into phase 1.  A request for proposal</w:t>
                            </w:r>
                            <w:r w:rsidR="00150CA4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(RFP)</w:t>
                            </w:r>
                            <w:r w:rsidR="009C4A16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was written for the architecture and engineering to renovate current</w:t>
                            </w:r>
                            <w:r w:rsidR="00150CA4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unoccupied</w:t>
                            </w:r>
                            <w:r w:rsidR="009C4A16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space on the third floor of the Courthouse into useable office space.</w:t>
                            </w:r>
                            <w:r w:rsidR="00BB7F96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 </w:t>
                            </w:r>
                            <w:r w:rsidR="00150CA4">
                              <w:rPr>
                                <w:rStyle w:val="InitialStyle"/>
                                <w:rFonts w:ascii="Times New Roman" w:hAnsi="Times New Roman"/>
                              </w:rPr>
                              <w:t>Also included was improving</w:t>
                            </w:r>
                            <w:r w:rsidR="00BB7F96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the security for</w:t>
                            </w:r>
                            <w:r w:rsidR="009C4A16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both the public</w:t>
                            </w:r>
                            <w:r w:rsidR="00150CA4">
                              <w:rPr>
                                <w:rStyle w:val="InitialStyle"/>
                                <w:rFonts w:ascii="Times New Roman" w:hAnsi="Times New Roman"/>
                              </w:rPr>
                              <w:t>, and county staff</w:t>
                            </w:r>
                            <w:r w:rsidR="00BB7F96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coming to the facilities</w:t>
                            </w:r>
                            <w:r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through</w:t>
                            </w:r>
                            <w:r w:rsidR="00150CA4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Style w:val="InitialStyle"/>
                                <w:rFonts w:ascii="Times New Roman" w:hAnsi="Times New Roman"/>
                              </w:rPr>
                              <w:t>a</w:t>
                            </w:r>
                            <w:r w:rsidR="00150CA4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redesign to</w:t>
                            </w:r>
                            <w:r w:rsidR="009C4A16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both the Courthouse and Reeds</w:t>
                            </w:r>
                            <w:r w:rsidR="00150CA4">
                              <w:rPr>
                                <w:rStyle w:val="InitialStyle"/>
                                <w:rFonts w:ascii="Times New Roman" w:hAnsi="Times New Roman"/>
                              </w:rPr>
                              <w:t>burg Human Services building</w:t>
                            </w:r>
                            <w:r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entrances</w:t>
                            </w:r>
                            <w:r w:rsidR="009C4A16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.  </w:t>
                            </w:r>
                            <w:r w:rsidR="00BB7F96">
                              <w:rPr>
                                <w:rStyle w:val="InitialStyle"/>
                                <w:rFonts w:ascii="Times New Roman" w:hAnsi="Times New Roman"/>
                              </w:rPr>
                              <w:t>Modernizing</w:t>
                            </w:r>
                            <w:r w:rsidR="00150CA4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the design </w:t>
                            </w:r>
                            <w:r w:rsidR="00BB7F96">
                              <w:rPr>
                                <w:rStyle w:val="InitialStyle"/>
                                <w:rFonts w:ascii="Times New Roman" w:hAnsi="Times New Roman"/>
                              </w:rPr>
                              <w:t>of the HVAC system</w:t>
                            </w:r>
                            <w:r>
                              <w:rPr>
                                <w:rStyle w:val="InitialStyle"/>
                                <w:rFonts w:ascii="Times New Roman" w:hAnsi="Times New Roman"/>
                              </w:rPr>
                              <w:t>s</w:t>
                            </w:r>
                            <w:r w:rsidR="00BB7F96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and controls, electrical </w:t>
                            </w:r>
                            <w:r>
                              <w:rPr>
                                <w:rStyle w:val="InitialStyle"/>
                                <w:rFonts w:ascii="Times New Roman" w:hAnsi="Times New Roman"/>
                              </w:rPr>
                              <w:t>and plumbing</w:t>
                            </w:r>
                            <w:r w:rsidR="00BB7F96">
                              <w:rPr>
                                <w:rStyle w:val="InitialStyle"/>
                                <w:rFonts w:ascii="Times New Roman" w:hAnsi="Times New Roman"/>
                              </w:rPr>
                              <w:t>, and fire suppression along with improved wayfinding</w:t>
                            </w:r>
                            <w:r w:rsidR="00150CA4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signage</w:t>
                            </w:r>
                            <w:r w:rsidR="00BB7F96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all</w:t>
                            </w:r>
                            <w:r w:rsidR="00150CA4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were</w:t>
                            </w:r>
                            <w:r w:rsidR="00BB7F96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Style w:val="InitialStyle"/>
                                <w:rFonts w:ascii="Times New Roman" w:hAnsi="Times New Roman"/>
                              </w:rPr>
                              <w:t>specified in</w:t>
                            </w:r>
                            <w:r w:rsidR="00BB7F96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the RFP.</w:t>
                            </w:r>
                            <w:r w:rsidR="009C4A16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392070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415408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BB7F96">
                              <w:rPr>
                                <w:rStyle w:val="InitialStyle"/>
                                <w:rFonts w:ascii="Times New Roman" w:hAnsi="Times New Roman"/>
                              </w:rPr>
                              <w:t>Seven</w:t>
                            </w:r>
                            <w:r w:rsidR="001716B0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proposal</w:t>
                            </w:r>
                            <w:r w:rsidR="00BB7F96">
                              <w:rPr>
                                <w:rStyle w:val="InitialStyle"/>
                                <w:rFonts w:ascii="Times New Roman" w:hAnsi="Times New Roman"/>
                              </w:rPr>
                              <w:t>s were</w:t>
                            </w:r>
                            <w:r w:rsidR="001716B0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received for the </w:t>
                            </w:r>
                            <w:r w:rsidR="00BB7F96">
                              <w:rPr>
                                <w:rStyle w:val="InitialStyle"/>
                                <w:rFonts w:ascii="Times New Roman" w:hAnsi="Times New Roman"/>
                              </w:rPr>
                              <w:t>architecture and engineering design</w:t>
                            </w:r>
                            <w:r w:rsidR="001716B0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.  </w:t>
                            </w:r>
                            <w:r w:rsidR="00037FE6">
                              <w:rPr>
                                <w:rStyle w:val="InitialStyle"/>
                                <w:rFonts w:ascii="Times New Roman" w:hAnsi="Times New Roman"/>
                              </w:rPr>
                              <w:t>The</w:t>
                            </w:r>
                            <w:r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Facilities D</w:t>
                            </w:r>
                            <w:r w:rsidR="001716B0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irector </w:t>
                            </w:r>
                            <w:r>
                              <w:rPr>
                                <w:rStyle w:val="InitialStyle"/>
                                <w:rFonts w:ascii="Times New Roman" w:hAnsi="Times New Roman"/>
                              </w:rPr>
                              <w:t>evaluated</w:t>
                            </w:r>
                            <w:r w:rsidR="00BB7F96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each proposal based on the RFP requirements</w:t>
                            </w:r>
                            <w:r w:rsidR="00AA661B">
                              <w:rPr>
                                <w:rStyle w:val="InitialStyle"/>
                                <w:rFonts w:ascii="Times New Roman" w:hAnsi="Times New Roman"/>
                              </w:rPr>
                              <w:t>, overall price,</w:t>
                            </w:r>
                            <w:r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and talking</w:t>
                            </w:r>
                            <w:r w:rsidR="00BB7F96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with references provided by the vendors</w:t>
                            </w:r>
                            <w:r w:rsidR="00F76C60">
                              <w:rPr>
                                <w:rStyle w:val="InitialStyle"/>
                                <w:rFonts w:ascii="Times New Roman" w:hAnsi="Times New Roman"/>
                              </w:rPr>
                              <w:t>.</w:t>
                            </w:r>
                            <w:r w:rsidR="00B0599E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 </w:t>
                            </w:r>
                            <w:r w:rsidR="00F76C60">
                              <w:rPr>
                                <w:rStyle w:val="InitialStyle"/>
                                <w:rFonts w:ascii="Times New Roman" w:hAnsi="Times New Roman"/>
                              </w:rPr>
                              <w:t>The Facilities Director is co</w:t>
                            </w:r>
                            <w:r w:rsidR="00F23456">
                              <w:rPr>
                                <w:rStyle w:val="InitialStyle"/>
                                <w:rFonts w:ascii="Times New Roman" w:hAnsi="Times New Roman"/>
                              </w:rPr>
                              <w:t>n</w:t>
                            </w:r>
                            <w:r w:rsidR="00C23B7B">
                              <w:rPr>
                                <w:rStyle w:val="InitialStyle"/>
                                <w:rFonts w:ascii="Times New Roman" w:hAnsi="Times New Roman"/>
                              </w:rPr>
                              <w:t>fident</w:t>
                            </w:r>
                            <w:r w:rsidR="00BB7F96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moving forward with the </w:t>
                            </w:r>
                            <w:r w:rsidR="00F76C60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proposal from </w:t>
                            </w:r>
                            <w:r w:rsidR="00BB7F96">
                              <w:rPr>
                                <w:rStyle w:val="InitialStyle"/>
                                <w:rFonts w:ascii="Times New Roman" w:hAnsi="Times New Roman"/>
                              </w:rPr>
                              <w:t>Dorschner Associates Inc. at a cost of $174,923</w:t>
                            </w:r>
                            <w:r w:rsidR="007A12AD">
                              <w:rPr>
                                <w:rStyle w:val="InitialStyle"/>
                                <w:rFonts w:ascii="Times New Roman" w:hAnsi="Times New Roman"/>
                              </w:rPr>
                              <w:t>.00</w:t>
                            </w:r>
                            <w:r w:rsidR="00AA661B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for the architecture and engineering design of spaces at the Courthouse, Reedsburg Human Services, and West Square Administration Facilities.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.75pt;margin-top:62.8pt;width:465.6pt;height:258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">
                <v:textbox>
                  <w:txbxContent>
                    <w:p w:rsidR="001E4083" w:rsidRPr="0059274C" w:rsidRDefault="00D71859" w:rsidP="009054F0">
                      <w:pPr>
                        <w:pStyle w:val="DefaultText"/>
                      </w:pPr>
                      <w:r>
                        <w:rPr>
                          <w:b/>
                          <w:i/>
                        </w:rPr>
                        <w:t>Background:</w:t>
                      </w:r>
                      <w:r w:rsidR="00037FE6">
                        <w:rPr>
                          <w:b/>
                          <w:i/>
                        </w:rPr>
                        <w:t xml:space="preserve"> </w:t>
                      </w:r>
                      <w:r w:rsidR="00512E8C">
                        <w:rPr>
                          <w:rStyle w:val="InitialStyle"/>
                          <w:rFonts w:ascii="Times New Roman" w:hAnsi="Times New Roman"/>
                        </w:rPr>
                        <w:t xml:space="preserve">The current layout and </w:t>
                      </w:r>
                      <w:r w:rsidR="007A12AD">
                        <w:rPr>
                          <w:rStyle w:val="InitialStyle"/>
                          <w:rFonts w:ascii="Times New Roman" w:hAnsi="Times New Roman"/>
                        </w:rPr>
                        <w:t>u</w:t>
                      </w:r>
                      <w:r w:rsidR="00512E8C">
                        <w:rPr>
                          <w:rStyle w:val="InitialStyle"/>
                          <w:rFonts w:ascii="Times New Roman" w:hAnsi="Times New Roman"/>
                        </w:rPr>
                        <w:t>s</w:t>
                      </w:r>
                      <w:r w:rsidR="007A12AD">
                        <w:rPr>
                          <w:rStyle w:val="InitialStyle"/>
                          <w:rFonts w:ascii="Times New Roman" w:hAnsi="Times New Roman"/>
                        </w:rPr>
                        <w:t>e of Sauk County facilities is not practical for current and future day-to-day operations</w:t>
                      </w:r>
                      <w:r w:rsidR="00A13357">
                        <w:rPr>
                          <w:rStyle w:val="InitialStyle"/>
                          <w:rFonts w:ascii="Times New Roman" w:hAnsi="Times New Roman"/>
                        </w:rPr>
                        <w:t>.  A security analysis of the facilities was conducted in 2016,</w:t>
                      </w:r>
                      <w:r w:rsidR="00150CA4">
                        <w:rPr>
                          <w:rStyle w:val="InitialStyle"/>
                          <w:rFonts w:ascii="Times New Roman" w:hAnsi="Times New Roman"/>
                        </w:rPr>
                        <w:t xml:space="preserve"> along with a</w:t>
                      </w:r>
                      <w:r w:rsidR="00A13357">
                        <w:rPr>
                          <w:rStyle w:val="InitialStyle"/>
                          <w:rFonts w:ascii="Times New Roman" w:hAnsi="Times New Roman"/>
                        </w:rPr>
                        <w:t xml:space="preserve"> space needs assessment </w:t>
                      </w:r>
                      <w:r w:rsidR="009C4A16">
                        <w:rPr>
                          <w:rStyle w:val="InitialStyle"/>
                          <w:rFonts w:ascii="Times New Roman" w:hAnsi="Times New Roman"/>
                        </w:rPr>
                        <w:t xml:space="preserve">in 2019.  Both the security analysis and space needs study identified numerous deficiencies in the Sauk County facilities from a security and space utilization standpoint. </w:t>
                      </w:r>
                      <w:r w:rsidR="00150CA4">
                        <w:rPr>
                          <w:rStyle w:val="InitialStyle"/>
                          <w:rFonts w:ascii="Times New Roman" w:hAnsi="Times New Roman"/>
                        </w:rPr>
                        <w:t>The 2019 s</w:t>
                      </w:r>
                      <w:r w:rsidR="009C4A16">
                        <w:rPr>
                          <w:rStyle w:val="InitialStyle"/>
                          <w:rFonts w:ascii="Times New Roman" w:hAnsi="Times New Roman"/>
                        </w:rPr>
                        <w:t xml:space="preserve">pace needs assessment identified </w:t>
                      </w:r>
                      <w:r w:rsidR="00150CA4">
                        <w:rPr>
                          <w:rStyle w:val="InitialStyle"/>
                          <w:rFonts w:ascii="Times New Roman" w:hAnsi="Times New Roman"/>
                        </w:rPr>
                        <w:t>the highest priority places needing</w:t>
                      </w:r>
                      <w:r w:rsidR="009C4A16">
                        <w:rPr>
                          <w:rStyle w:val="InitialStyle"/>
                          <w:rFonts w:ascii="Times New Roman" w:hAnsi="Times New Roman"/>
                        </w:rPr>
                        <w:t xml:space="preserve"> attention and grouped those areas together into phase 1.  A request for proposal</w:t>
                      </w:r>
                      <w:r w:rsidR="00150CA4">
                        <w:rPr>
                          <w:rStyle w:val="InitialStyle"/>
                          <w:rFonts w:ascii="Times New Roman" w:hAnsi="Times New Roman"/>
                        </w:rPr>
                        <w:t xml:space="preserve"> (RFP)</w:t>
                      </w:r>
                      <w:r w:rsidR="009C4A16">
                        <w:rPr>
                          <w:rStyle w:val="InitialStyle"/>
                          <w:rFonts w:ascii="Times New Roman" w:hAnsi="Times New Roman"/>
                        </w:rPr>
                        <w:t xml:space="preserve"> was written for the architecture and engineering to renovate current</w:t>
                      </w:r>
                      <w:r w:rsidR="00150CA4">
                        <w:rPr>
                          <w:rStyle w:val="InitialStyle"/>
                          <w:rFonts w:ascii="Times New Roman" w:hAnsi="Times New Roman"/>
                        </w:rPr>
                        <w:t xml:space="preserve"> unoccupied</w:t>
                      </w:r>
                      <w:r w:rsidR="009C4A16">
                        <w:rPr>
                          <w:rStyle w:val="InitialStyle"/>
                          <w:rFonts w:ascii="Times New Roman" w:hAnsi="Times New Roman"/>
                        </w:rPr>
                        <w:t xml:space="preserve"> space on the third floor of the Courthouse into useable office space.</w:t>
                      </w:r>
                      <w:r w:rsidR="00BB7F96">
                        <w:rPr>
                          <w:rStyle w:val="InitialStyle"/>
                          <w:rFonts w:ascii="Times New Roman" w:hAnsi="Times New Roman"/>
                        </w:rPr>
                        <w:t xml:space="preserve">  </w:t>
                      </w:r>
                      <w:r w:rsidR="00150CA4">
                        <w:rPr>
                          <w:rStyle w:val="InitialStyle"/>
                          <w:rFonts w:ascii="Times New Roman" w:hAnsi="Times New Roman"/>
                        </w:rPr>
                        <w:t>Also included was improving</w:t>
                      </w:r>
                      <w:r w:rsidR="00BB7F96">
                        <w:rPr>
                          <w:rStyle w:val="InitialStyle"/>
                          <w:rFonts w:ascii="Times New Roman" w:hAnsi="Times New Roman"/>
                        </w:rPr>
                        <w:t xml:space="preserve"> the security for</w:t>
                      </w:r>
                      <w:r w:rsidR="009C4A16">
                        <w:rPr>
                          <w:rStyle w:val="InitialStyle"/>
                          <w:rFonts w:ascii="Times New Roman" w:hAnsi="Times New Roman"/>
                        </w:rPr>
                        <w:t xml:space="preserve"> both the public</w:t>
                      </w:r>
                      <w:r w:rsidR="00150CA4">
                        <w:rPr>
                          <w:rStyle w:val="InitialStyle"/>
                          <w:rFonts w:ascii="Times New Roman" w:hAnsi="Times New Roman"/>
                        </w:rPr>
                        <w:t>, and county staff</w:t>
                      </w:r>
                      <w:r w:rsidR="00BB7F96">
                        <w:rPr>
                          <w:rStyle w:val="InitialStyle"/>
                          <w:rFonts w:ascii="Times New Roman" w:hAnsi="Times New Roman"/>
                        </w:rPr>
                        <w:t xml:space="preserve"> coming to the facilities</w:t>
                      </w:r>
                      <w:r>
                        <w:rPr>
                          <w:rStyle w:val="InitialStyle"/>
                          <w:rFonts w:ascii="Times New Roman" w:hAnsi="Times New Roman"/>
                        </w:rPr>
                        <w:t xml:space="preserve"> through</w:t>
                      </w:r>
                      <w:r w:rsidR="00150CA4">
                        <w:rPr>
                          <w:rStyle w:val="InitialStyle"/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Style w:val="InitialStyle"/>
                          <w:rFonts w:ascii="Times New Roman" w:hAnsi="Times New Roman"/>
                        </w:rPr>
                        <w:t>a</w:t>
                      </w:r>
                      <w:r w:rsidR="00150CA4">
                        <w:rPr>
                          <w:rStyle w:val="InitialStyle"/>
                          <w:rFonts w:ascii="Times New Roman" w:hAnsi="Times New Roman"/>
                        </w:rPr>
                        <w:t xml:space="preserve"> redesign to</w:t>
                      </w:r>
                      <w:r w:rsidR="009C4A16">
                        <w:rPr>
                          <w:rStyle w:val="InitialStyle"/>
                          <w:rFonts w:ascii="Times New Roman" w:hAnsi="Times New Roman"/>
                        </w:rPr>
                        <w:t xml:space="preserve"> both the Courthouse and Reeds</w:t>
                      </w:r>
                      <w:r w:rsidR="00150CA4">
                        <w:rPr>
                          <w:rStyle w:val="InitialStyle"/>
                          <w:rFonts w:ascii="Times New Roman" w:hAnsi="Times New Roman"/>
                        </w:rPr>
                        <w:t>burg Human Services building</w:t>
                      </w:r>
                      <w:r>
                        <w:rPr>
                          <w:rStyle w:val="InitialStyle"/>
                          <w:rFonts w:ascii="Times New Roman" w:hAnsi="Times New Roman"/>
                        </w:rPr>
                        <w:t xml:space="preserve"> entrances</w:t>
                      </w:r>
                      <w:r w:rsidR="009C4A16">
                        <w:rPr>
                          <w:rStyle w:val="InitialStyle"/>
                          <w:rFonts w:ascii="Times New Roman" w:hAnsi="Times New Roman"/>
                        </w:rPr>
                        <w:t xml:space="preserve">.  </w:t>
                      </w:r>
                      <w:r w:rsidR="00BB7F96">
                        <w:rPr>
                          <w:rStyle w:val="InitialStyle"/>
                          <w:rFonts w:ascii="Times New Roman" w:hAnsi="Times New Roman"/>
                        </w:rPr>
                        <w:t>Modernizing</w:t>
                      </w:r>
                      <w:r w:rsidR="00150CA4">
                        <w:rPr>
                          <w:rStyle w:val="InitialStyle"/>
                          <w:rFonts w:ascii="Times New Roman" w:hAnsi="Times New Roman"/>
                        </w:rPr>
                        <w:t xml:space="preserve"> the design </w:t>
                      </w:r>
                      <w:r w:rsidR="00BB7F96">
                        <w:rPr>
                          <w:rStyle w:val="InitialStyle"/>
                          <w:rFonts w:ascii="Times New Roman" w:hAnsi="Times New Roman"/>
                        </w:rPr>
                        <w:t>of the HVAC system</w:t>
                      </w:r>
                      <w:r>
                        <w:rPr>
                          <w:rStyle w:val="InitialStyle"/>
                          <w:rFonts w:ascii="Times New Roman" w:hAnsi="Times New Roman"/>
                        </w:rPr>
                        <w:t>s</w:t>
                      </w:r>
                      <w:r w:rsidR="00BB7F96">
                        <w:rPr>
                          <w:rStyle w:val="InitialStyle"/>
                          <w:rFonts w:ascii="Times New Roman" w:hAnsi="Times New Roman"/>
                        </w:rPr>
                        <w:t xml:space="preserve"> and controls, electrical </w:t>
                      </w:r>
                      <w:r>
                        <w:rPr>
                          <w:rStyle w:val="InitialStyle"/>
                          <w:rFonts w:ascii="Times New Roman" w:hAnsi="Times New Roman"/>
                        </w:rPr>
                        <w:t>and plumbing</w:t>
                      </w:r>
                      <w:r w:rsidR="00BB7F96">
                        <w:rPr>
                          <w:rStyle w:val="InitialStyle"/>
                          <w:rFonts w:ascii="Times New Roman" w:hAnsi="Times New Roman"/>
                        </w:rPr>
                        <w:t>, and fire suppression along with improved wayfinding</w:t>
                      </w:r>
                      <w:r w:rsidR="00150CA4">
                        <w:rPr>
                          <w:rStyle w:val="InitialStyle"/>
                          <w:rFonts w:ascii="Times New Roman" w:hAnsi="Times New Roman"/>
                        </w:rPr>
                        <w:t xml:space="preserve"> signage</w:t>
                      </w:r>
                      <w:r w:rsidR="00BB7F96">
                        <w:rPr>
                          <w:rStyle w:val="InitialStyle"/>
                          <w:rFonts w:ascii="Times New Roman" w:hAnsi="Times New Roman"/>
                        </w:rPr>
                        <w:t xml:space="preserve"> all</w:t>
                      </w:r>
                      <w:r w:rsidR="00150CA4">
                        <w:rPr>
                          <w:rStyle w:val="InitialStyle"/>
                          <w:rFonts w:ascii="Times New Roman" w:hAnsi="Times New Roman"/>
                        </w:rPr>
                        <w:t xml:space="preserve"> were</w:t>
                      </w:r>
                      <w:r w:rsidR="00BB7F96">
                        <w:rPr>
                          <w:rStyle w:val="InitialStyle"/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Style w:val="InitialStyle"/>
                          <w:rFonts w:ascii="Times New Roman" w:hAnsi="Times New Roman"/>
                        </w:rPr>
                        <w:t>specified in</w:t>
                      </w:r>
                      <w:r w:rsidR="00BB7F96">
                        <w:rPr>
                          <w:rStyle w:val="InitialStyle"/>
                          <w:rFonts w:ascii="Times New Roman" w:hAnsi="Times New Roman"/>
                        </w:rPr>
                        <w:t xml:space="preserve"> the RFP.</w:t>
                      </w:r>
                      <w:r w:rsidR="009C4A16">
                        <w:rPr>
                          <w:rStyle w:val="InitialStyle"/>
                          <w:rFonts w:ascii="Times New Roman" w:hAnsi="Times New Roman"/>
                        </w:rPr>
                        <w:t xml:space="preserve"> </w:t>
                      </w:r>
                      <w:r w:rsidR="00392070">
                        <w:rPr>
                          <w:rStyle w:val="InitialStyle"/>
                          <w:rFonts w:ascii="Times New Roman" w:hAnsi="Times New Roman"/>
                        </w:rPr>
                        <w:t xml:space="preserve"> </w:t>
                      </w:r>
                      <w:r w:rsidR="00415408">
                        <w:rPr>
                          <w:rStyle w:val="InitialStyle"/>
                          <w:rFonts w:ascii="Times New Roman" w:hAnsi="Times New Roman"/>
                        </w:rPr>
                        <w:t xml:space="preserve"> </w:t>
                      </w:r>
                      <w:r w:rsidR="00BB7F96">
                        <w:rPr>
                          <w:rStyle w:val="InitialStyle"/>
                          <w:rFonts w:ascii="Times New Roman" w:hAnsi="Times New Roman"/>
                        </w:rPr>
                        <w:t>Seven</w:t>
                      </w:r>
                      <w:r w:rsidR="001716B0">
                        <w:rPr>
                          <w:rStyle w:val="InitialStyle"/>
                          <w:rFonts w:ascii="Times New Roman" w:hAnsi="Times New Roman"/>
                        </w:rPr>
                        <w:t xml:space="preserve"> proposal</w:t>
                      </w:r>
                      <w:r w:rsidR="00BB7F96">
                        <w:rPr>
                          <w:rStyle w:val="InitialStyle"/>
                          <w:rFonts w:ascii="Times New Roman" w:hAnsi="Times New Roman"/>
                        </w:rPr>
                        <w:t>s were</w:t>
                      </w:r>
                      <w:r w:rsidR="001716B0">
                        <w:rPr>
                          <w:rStyle w:val="InitialStyle"/>
                          <w:rFonts w:ascii="Times New Roman" w:hAnsi="Times New Roman"/>
                        </w:rPr>
                        <w:t xml:space="preserve"> received for the </w:t>
                      </w:r>
                      <w:r w:rsidR="00BB7F96">
                        <w:rPr>
                          <w:rStyle w:val="InitialStyle"/>
                          <w:rFonts w:ascii="Times New Roman" w:hAnsi="Times New Roman"/>
                        </w:rPr>
                        <w:t>architecture and engineering design</w:t>
                      </w:r>
                      <w:r w:rsidR="001716B0">
                        <w:rPr>
                          <w:rStyle w:val="InitialStyle"/>
                          <w:rFonts w:ascii="Times New Roman" w:hAnsi="Times New Roman"/>
                        </w:rPr>
                        <w:t xml:space="preserve">.  </w:t>
                      </w:r>
                      <w:r w:rsidR="00037FE6">
                        <w:rPr>
                          <w:rStyle w:val="InitialStyle"/>
                          <w:rFonts w:ascii="Times New Roman" w:hAnsi="Times New Roman"/>
                        </w:rPr>
                        <w:t>The</w:t>
                      </w:r>
                      <w:r>
                        <w:rPr>
                          <w:rStyle w:val="InitialStyle"/>
                          <w:rFonts w:ascii="Times New Roman" w:hAnsi="Times New Roman"/>
                        </w:rPr>
                        <w:t xml:space="preserve"> Facilities D</w:t>
                      </w:r>
                      <w:r w:rsidR="001716B0">
                        <w:rPr>
                          <w:rStyle w:val="InitialStyle"/>
                          <w:rFonts w:ascii="Times New Roman" w:hAnsi="Times New Roman"/>
                        </w:rPr>
                        <w:t xml:space="preserve">irector </w:t>
                      </w:r>
                      <w:r>
                        <w:rPr>
                          <w:rStyle w:val="InitialStyle"/>
                          <w:rFonts w:ascii="Times New Roman" w:hAnsi="Times New Roman"/>
                        </w:rPr>
                        <w:t>evaluated</w:t>
                      </w:r>
                      <w:r w:rsidR="00BB7F96">
                        <w:rPr>
                          <w:rStyle w:val="InitialStyle"/>
                          <w:rFonts w:ascii="Times New Roman" w:hAnsi="Times New Roman"/>
                        </w:rPr>
                        <w:t xml:space="preserve"> each proposal based on the RFP requirements</w:t>
                      </w:r>
                      <w:r w:rsidR="00AA661B">
                        <w:rPr>
                          <w:rStyle w:val="InitialStyle"/>
                          <w:rFonts w:ascii="Times New Roman" w:hAnsi="Times New Roman"/>
                        </w:rPr>
                        <w:t>, overall price,</w:t>
                      </w:r>
                      <w:r>
                        <w:rPr>
                          <w:rStyle w:val="InitialStyle"/>
                          <w:rFonts w:ascii="Times New Roman" w:hAnsi="Times New Roman"/>
                        </w:rPr>
                        <w:t xml:space="preserve"> and talking</w:t>
                      </w:r>
                      <w:r w:rsidR="00BB7F96">
                        <w:rPr>
                          <w:rStyle w:val="InitialStyle"/>
                          <w:rFonts w:ascii="Times New Roman" w:hAnsi="Times New Roman"/>
                        </w:rPr>
                        <w:t xml:space="preserve"> with references provided by the vendors</w:t>
                      </w:r>
                      <w:r w:rsidR="00F76C60">
                        <w:rPr>
                          <w:rStyle w:val="InitialStyle"/>
                          <w:rFonts w:ascii="Times New Roman" w:hAnsi="Times New Roman"/>
                        </w:rPr>
                        <w:t>.</w:t>
                      </w:r>
                      <w:r w:rsidR="00B0599E">
                        <w:rPr>
                          <w:rStyle w:val="InitialStyle"/>
                          <w:rFonts w:ascii="Times New Roman" w:hAnsi="Times New Roman"/>
                        </w:rPr>
                        <w:t xml:space="preserve">  </w:t>
                      </w:r>
                      <w:r w:rsidR="00F76C60">
                        <w:rPr>
                          <w:rStyle w:val="InitialStyle"/>
                          <w:rFonts w:ascii="Times New Roman" w:hAnsi="Times New Roman"/>
                        </w:rPr>
                        <w:t>The Facilities Director is co</w:t>
                      </w:r>
                      <w:r w:rsidR="00F23456">
                        <w:rPr>
                          <w:rStyle w:val="InitialStyle"/>
                          <w:rFonts w:ascii="Times New Roman" w:hAnsi="Times New Roman"/>
                        </w:rPr>
                        <w:t>n</w:t>
                      </w:r>
                      <w:r w:rsidR="00C23B7B">
                        <w:rPr>
                          <w:rStyle w:val="InitialStyle"/>
                          <w:rFonts w:ascii="Times New Roman" w:hAnsi="Times New Roman"/>
                        </w:rPr>
                        <w:t>fident</w:t>
                      </w:r>
                      <w:r w:rsidR="00BB7F96">
                        <w:rPr>
                          <w:rStyle w:val="InitialStyle"/>
                          <w:rFonts w:ascii="Times New Roman" w:hAnsi="Times New Roman"/>
                        </w:rPr>
                        <w:t xml:space="preserve"> moving forward with the </w:t>
                      </w:r>
                      <w:r w:rsidR="00F76C60">
                        <w:rPr>
                          <w:rStyle w:val="InitialStyle"/>
                          <w:rFonts w:ascii="Times New Roman" w:hAnsi="Times New Roman"/>
                        </w:rPr>
                        <w:t xml:space="preserve">proposal from </w:t>
                      </w:r>
                      <w:r w:rsidR="00BB7F96">
                        <w:rPr>
                          <w:rStyle w:val="InitialStyle"/>
                          <w:rFonts w:ascii="Times New Roman" w:hAnsi="Times New Roman"/>
                        </w:rPr>
                        <w:t>Dorschner Associates Inc. at a cost of $174,923</w:t>
                      </w:r>
                      <w:r w:rsidR="007A12AD">
                        <w:rPr>
                          <w:rStyle w:val="InitialStyle"/>
                          <w:rFonts w:ascii="Times New Roman" w:hAnsi="Times New Roman"/>
                        </w:rPr>
                        <w:t>.00</w:t>
                      </w:r>
                      <w:r w:rsidR="00AA661B">
                        <w:rPr>
                          <w:rStyle w:val="InitialStyle"/>
                          <w:rFonts w:ascii="Times New Roman" w:hAnsi="Times New Roman"/>
                        </w:rPr>
                        <w:t xml:space="preserve"> for the architecture and engineering design of spaces at the Courthouse, Reedsburg Human Services, and West Square Administration Facilities.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54F0" w:rsidRPr="009054F0">
        <w:rPr>
          <w:rStyle w:val="InitialStyle"/>
          <w:rFonts w:ascii="Times New Roman" w:hAnsi="Times New Roman"/>
          <w:b/>
        </w:rPr>
        <w:t xml:space="preserve">AUTHORIZATION TO CONTRACT WITH </w:t>
      </w:r>
      <w:r w:rsidR="00D96F5D">
        <w:rPr>
          <w:rStyle w:val="InitialStyle"/>
          <w:rFonts w:ascii="Times New Roman" w:hAnsi="Times New Roman"/>
          <w:b/>
        </w:rPr>
        <w:t>DORSCHNER ASSOCIATES, INC. FOR THE SAUK COUNTY ARCHITECTURAL AND ENGINEERING DESIGN FOR SPECIFIED WORK AT THE COURTHOUSE, REEDSBURG HUMAN SERVICES, AND WEST SQUARE ADMINISTRATION FACILITIES</w:t>
      </w:r>
      <w:r w:rsidR="009054F0" w:rsidRPr="009054F0">
        <w:rPr>
          <w:rStyle w:val="InitialStyle"/>
          <w:rFonts w:ascii="Times New Roman" w:hAnsi="Times New Roman"/>
          <w:b/>
        </w:rPr>
        <w:t xml:space="preserve"> </w:t>
      </w:r>
    </w:p>
    <w:p w:rsidR="009054F0" w:rsidRP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  <w:b/>
        </w:rPr>
      </w:pPr>
    </w:p>
    <w:p w:rsidR="009054F0" w:rsidRP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  <w:r w:rsidRPr="009054F0">
        <w:rPr>
          <w:rStyle w:val="InitialStyle"/>
          <w:rFonts w:ascii="Times New Roman" w:hAnsi="Times New Roman"/>
          <w:b/>
        </w:rPr>
        <w:tab/>
        <w:t>NOW, THEREFORE, BE IT RESOLVED</w:t>
      </w:r>
      <w:r w:rsidRPr="009054F0">
        <w:rPr>
          <w:rStyle w:val="InitialStyle"/>
          <w:rFonts w:ascii="Times New Roman" w:hAnsi="Times New Roman"/>
        </w:rPr>
        <w:t>, by the Sauk County Board of Supervisors met in regular session,</w:t>
      </w:r>
      <w:r w:rsidR="00D9467F">
        <w:rPr>
          <w:rStyle w:val="InitialStyle"/>
          <w:rFonts w:ascii="Times New Roman" w:hAnsi="Times New Roman"/>
        </w:rPr>
        <w:t xml:space="preserve"> and</w:t>
      </w:r>
      <w:r w:rsidRPr="009054F0">
        <w:rPr>
          <w:rStyle w:val="InitialStyle"/>
          <w:rFonts w:ascii="Times New Roman" w:hAnsi="Times New Roman"/>
        </w:rPr>
        <w:t xml:space="preserve"> that the Building Services</w:t>
      </w:r>
      <w:r w:rsidR="00D9467F">
        <w:rPr>
          <w:rStyle w:val="InitialStyle"/>
          <w:rFonts w:ascii="Times New Roman" w:hAnsi="Times New Roman"/>
        </w:rPr>
        <w:t xml:space="preserve"> Facilities</w:t>
      </w:r>
      <w:r w:rsidRPr="009054F0">
        <w:rPr>
          <w:rStyle w:val="InitialStyle"/>
          <w:rFonts w:ascii="Times New Roman" w:hAnsi="Times New Roman"/>
        </w:rPr>
        <w:t xml:space="preserve"> Director is hereby authorized to contract with </w:t>
      </w:r>
      <w:r w:rsidR="00AA661B">
        <w:rPr>
          <w:rStyle w:val="InitialStyle"/>
          <w:rFonts w:ascii="Times New Roman" w:hAnsi="Times New Roman"/>
        </w:rPr>
        <w:t>Dorschner Associates Inc.</w:t>
      </w:r>
      <w:r w:rsidRPr="009054F0">
        <w:rPr>
          <w:rStyle w:val="InitialStyle"/>
          <w:rFonts w:ascii="Times New Roman" w:hAnsi="Times New Roman"/>
        </w:rPr>
        <w:t xml:space="preserve"> for $</w:t>
      </w:r>
      <w:r w:rsidR="00F76C60">
        <w:rPr>
          <w:rStyle w:val="InitialStyle"/>
          <w:rFonts w:ascii="Times New Roman" w:hAnsi="Times New Roman"/>
        </w:rPr>
        <w:t>1</w:t>
      </w:r>
      <w:r w:rsidR="00AA661B">
        <w:rPr>
          <w:rStyle w:val="InitialStyle"/>
          <w:rFonts w:ascii="Times New Roman" w:hAnsi="Times New Roman"/>
        </w:rPr>
        <w:t>74</w:t>
      </w:r>
      <w:r w:rsidR="00F76C60">
        <w:rPr>
          <w:rStyle w:val="InitialStyle"/>
          <w:rFonts w:ascii="Times New Roman" w:hAnsi="Times New Roman"/>
        </w:rPr>
        <w:t>,</w:t>
      </w:r>
      <w:r w:rsidR="00AA661B">
        <w:rPr>
          <w:rStyle w:val="InitialStyle"/>
          <w:rFonts w:ascii="Times New Roman" w:hAnsi="Times New Roman"/>
        </w:rPr>
        <w:t>923</w:t>
      </w:r>
      <w:r w:rsidR="007A12AD">
        <w:rPr>
          <w:rStyle w:val="InitialStyle"/>
          <w:rFonts w:ascii="Times New Roman" w:hAnsi="Times New Roman"/>
        </w:rPr>
        <w:t>.00</w:t>
      </w:r>
      <w:r w:rsidRPr="009054F0">
        <w:rPr>
          <w:rStyle w:val="InitialStyle"/>
          <w:rFonts w:ascii="Times New Roman" w:hAnsi="Times New Roman"/>
        </w:rPr>
        <w:t xml:space="preserve"> to complete </w:t>
      </w:r>
      <w:r w:rsidR="00AA661B">
        <w:rPr>
          <w:rStyle w:val="InitialStyle"/>
          <w:rFonts w:ascii="Times New Roman" w:hAnsi="Times New Roman"/>
        </w:rPr>
        <w:t>an architecture and engineering design to the Courthouse, Reedsburg Human Services, and West Square Administration Facilities</w:t>
      </w:r>
      <w:r w:rsidRPr="009054F0">
        <w:rPr>
          <w:rStyle w:val="InitialStyle"/>
          <w:rFonts w:ascii="Times New Roman" w:hAnsi="Times New Roman"/>
        </w:rPr>
        <w:t>; and,</w:t>
      </w:r>
    </w:p>
    <w:p w:rsidR="009054F0" w:rsidRP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</w:p>
    <w:p w:rsidR="009054F0" w:rsidRP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  <w:r w:rsidRPr="009054F0">
        <w:rPr>
          <w:rStyle w:val="InitialStyle"/>
          <w:rFonts w:ascii="Times New Roman" w:hAnsi="Times New Roman"/>
        </w:rPr>
        <w:tab/>
      </w:r>
      <w:r w:rsidRPr="009054F0">
        <w:rPr>
          <w:rStyle w:val="InitialStyle"/>
          <w:rFonts w:ascii="Times New Roman" w:hAnsi="Times New Roman"/>
          <w:b/>
          <w:szCs w:val="24"/>
        </w:rPr>
        <w:t>BE IT FURTHER RESOLVED</w:t>
      </w:r>
      <w:r w:rsidRPr="009054F0">
        <w:rPr>
          <w:rStyle w:val="InitialStyle"/>
          <w:rFonts w:ascii="Times New Roman" w:hAnsi="Times New Roman"/>
          <w:szCs w:val="24"/>
        </w:rPr>
        <w:t xml:space="preserve">, </w:t>
      </w:r>
      <w:r w:rsidR="00AA661B" w:rsidRPr="00CD6026">
        <w:rPr>
          <w:rStyle w:val="InitialStyle"/>
          <w:rFonts w:ascii="Times New Roman" w:hAnsi="Times New Roman"/>
          <w:szCs w:val="24"/>
        </w:rPr>
        <w:t>that</w:t>
      </w:r>
      <w:r w:rsidR="00AA661B">
        <w:rPr>
          <w:rStyle w:val="InitialStyle"/>
          <w:rFonts w:ascii="Times New Roman" w:hAnsi="Times New Roman"/>
          <w:szCs w:val="24"/>
        </w:rPr>
        <w:t xml:space="preserve"> the Buildings Services Facilities</w:t>
      </w:r>
      <w:r w:rsidR="00AA661B" w:rsidRPr="00CD6026">
        <w:rPr>
          <w:rStyle w:val="InitialStyle"/>
          <w:rFonts w:ascii="Times New Roman" w:hAnsi="Times New Roman"/>
          <w:szCs w:val="24"/>
        </w:rPr>
        <w:t xml:space="preserve"> Director is hereby authorized to approve change orders for any potential unforeseen conditions a</w:t>
      </w:r>
      <w:r w:rsidR="00AA661B">
        <w:rPr>
          <w:rStyle w:val="InitialStyle"/>
          <w:rFonts w:ascii="Times New Roman" w:hAnsi="Times New Roman"/>
          <w:szCs w:val="24"/>
        </w:rPr>
        <w:t xml:space="preserve">nd </w:t>
      </w:r>
      <w:r w:rsidR="00AA661B">
        <w:t>so long as change orders for each contracted portion of the project do not exceed 15% of the original contracted price</w:t>
      </w:r>
      <w:r w:rsidR="00580075">
        <w:t xml:space="preserve"> </w:t>
      </w:r>
      <w:r w:rsidR="00580075" w:rsidRPr="009054F0">
        <w:rPr>
          <w:rStyle w:val="InitialStyle"/>
          <w:rFonts w:ascii="Times New Roman" w:hAnsi="Times New Roman"/>
          <w:szCs w:val="24"/>
        </w:rPr>
        <w:t>as long as such change orders individually do not exceed $10,000.00</w:t>
      </w:r>
      <w:r w:rsidR="00AA661B">
        <w:t xml:space="preserve"> and sufficient budgeted funds are available in the 2019 Building Services Capital Outlay budget to pay the change order cost increases.</w:t>
      </w:r>
      <w:r w:rsidRPr="009054F0">
        <w:rPr>
          <w:rStyle w:val="InitialStyle"/>
          <w:rFonts w:ascii="Times New Roman" w:hAnsi="Times New Roman"/>
        </w:rPr>
        <w:t xml:space="preserve"> </w:t>
      </w:r>
    </w:p>
    <w:p w:rsidR="00AA661B" w:rsidRDefault="00AA661B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</w:p>
    <w:p w:rsidR="009054F0" w:rsidRP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  <w:r w:rsidRPr="009054F0">
        <w:rPr>
          <w:rStyle w:val="InitialStyle"/>
          <w:rFonts w:ascii="Times New Roman" w:hAnsi="Times New Roman"/>
        </w:rPr>
        <w:t xml:space="preserve">For consideration by the Sauk County Board of Supervisors on </w:t>
      </w:r>
      <w:r w:rsidR="00AA661B">
        <w:rPr>
          <w:rStyle w:val="InitialStyle"/>
          <w:rFonts w:ascii="Times New Roman" w:hAnsi="Times New Roman"/>
        </w:rPr>
        <w:t>Dece</w:t>
      </w:r>
      <w:r w:rsidR="000D1E61">
        <w:rPr>
          <w:rStyle w:val="InitialStyle"/>
          <w:rFonts w:ascii="Times New Roman" w:hAnsi="Times New Roman"/>
        </w:rPr>
        <w:t>mber 17</w:t>
      </w:r>
      <w:r w:rsidRPr="009054F0">
        <w:rPr>
          <w:rStyle w:val="InitialStyle"/>
          <w:rFonts w:ascii="Times New Roman" w:hAnsi="Times New Roman"/>
          <w:vertAlign w:val="superscript"/>
        </w:rPr>
        <w:t>th</w:t>
      </w:r>
      <w:r w:rsidRPr="009054F0">
        <w:rPr>
          <w:rStyle w:val="InitialStyle"/>
          <w:rFonts w:ascii="Times New Roman" w:hAnsi="Times New Roman"/>
        </w:rPr>
        <w:t>, 201</w:t>
      </w:r>
      <w:r w:rsidR="006A6655">
        <w:rPr>
          <w:rStyle w:val="InitialStyle"/>
          <w:rFonts w:ascii="Times New Roman" w:hAnsi="Times New Roman"/>
        </w:rPr>
        <w:t>9</w:t>
      </w:r>
      <w:r w:rsidRPr="009054F0">
        <w:rPr>
          <w:rStyle w:val="InitialStyle"/>
          <w:rFonts w:ascii="Times New Roman" w:hAnsi="Times New Roman"/>
        </w:rPr>
        <w:t>.</w:t>
      </w:r>
    </w:p>
    <w:p w:rsidR="009054F0" w:rsidRP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</w:p>
    <w:p w:rsidR="00EC01ED" w:rsidRDefault="00EC01ED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</w:p>
    <w:p w:rsidR="009054F0" w:rsidRP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  <w:r w:rsidRPr="009054F0">
        <w:rPr>
          <w:rStyle w:val="InitialStyle"/>
          <w:rFonts w:ascii="Times New Roman" w:hAnsi="Times New Roman"/>
        </w:rPr>
        <w:t xml:space="preserve">Respectfully submitted, </w:t>
      </w:r>
    </w:p>
    <w:p w:rsid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</w:p>
    <w:p w:rsidR="000D1E61" w:rsidRDefault="000D1E61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</w:p>
    <w:p w:rsidR="000D1E61" w:rsidRDefault="000D1E61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</w:p>
    <w:p w:rsidR="000D1E61" w:rsidRDefault="000D1E61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</w:p>
    <w:p w:rsidR="00C61FC5" w:rsidRDefault="00C61FC5" w:rsidP="00102C19">
      <w:pPr>
        <w:pStyle w:val="DefaultText"/>
        <w:rPr>
          <w:b/>
          <w:sz w:val="22"/>
          <w:szCs w:val="22"/>
        </w:rPr>
      </w:pPr>
    </w:p>
    <w:p w:rsidR="00102C19" w:rsidRDefault="00102C19" w:rsidP="00102C19">
      <w:pPr>
        <w:pStyle w:val="DefaultTex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PAGE 2</w:t>
      </w:r>
    </w:p>
    <w:p w:rsidR="00102C19" w:rsidRDefault="00102C19" w:rsidP="00102C19">
      <w:pPr>
        <w:pStyle w:val="DefaultText"/>
        <w:rPr>
          <w:b/>
          <w:sz w:val="22"/>
          <w:szCs w:val="22"/>
        </w:rPr>
      </w:pPr>
    </w:p>
    <w:p w:rsidR="00102C19" w:rsidRPr="00102C19" w:rsidRDefault="00102C19" w:rsidP="00102C19">
      <w:pPr>
        <w:pStyle w:val="DefaultText"/>
        <w:rPr>
          <w:b/>
          <w:sz w:val="22"/>
          <w:szCs w:val="22"/>
        </w:rPr>
      </w:pPr>
      <w:r w:rsidRPr="00102C19">
        <w:rPr>
          <w:b/>
          <w:sz w:val="22"/>
          <w:szCs w:val="22"/>
        </w:rPr>
        <w:t>RESOLUTION NO. _____ - 2019</w:t>
      </w:r>
    </w:p>
    <w:p w:rsidR="00102C19" w:rsidRDefault="00102C19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  <w:b/>
          <w:sz w:val="22"/>
          <w:szCs w:val="22"/>
        </w:rPr>
      </w:pPr>
    </w:p>
    <w:p w:rsidR="00102C19" w:rsidRDefault="00AA661B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  <w:b/>
          <w:sz w:val="22"/>
          <w:szCs w:val="22"/>
        </w:rPr>
      </w:pPr>
      <w:r w:rsidRPr="00E817F7">
        <w:rPr>
          <w:rStyle w:val="InitialStyle"/>
          <w:rFonts w:ascii="Times New Roman" w:hAnsi="Times New Roman"/>
          <w:b/>
          <w:sz w:val="22"/>
          <w:szCs w:val="22"/>
        </w:rPr>
        <w:t>AUTHORIZATION TO CONTRACT WITH DORSCHNER ASSOCIATES, INC. FOR THE SAUK COUNTY ARCHITECTURAL AND ENGINEERING DESIGN FOR SPECIFIED WORK AT THE COURTHOUSE, REEDSBURG HUMAN SERVICES, AND WEST SQUARE ADMINISTRATION</w:t>
      </w:r>
      <w:r w:rsidR="00E817F7">
        <w:rPr>
          <w:rStyle w:val="InitialStyle"/>
          <w:rFonts w:ascii="Times New Roman" w:hAnsi="Times New Roman"/>
          <w:b/>
          <w:sz w:val="22"/>
          <w:szCs w:val="22"/>
        </w:rPr>
        <w:t xml:space="preserve"> FACILITIES</w:t>
      </w:r>
    </w:p>
    <w:p w:rsidR="00E817F7" w:rsidRPr="00E817F7" w:rsidRDefault="00E817F7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  <w:sz w:val="22"/>
          <w:szCs w:val="22"/>
        </w:rPr>
      </w:pPr>
    </w:p>
    <w:p w:rsidR="009054F0" w:rsidRPr="009054F0" w:rsidRDefault="009054F0" w:rsidP="009054F0">
      <w:pPr>
        <w:pStyle w:val="DefaultText"/>
        <w:rPr>
          <w:b/>
          <w:bCs/>
          <w:caps/>
          <w:sz w:val="22"/>
          <w:szCs w:val="22"/>
        </w:rPr>
      </w:pPr>
      <w:r w:rsidRPr="009054F0">
        <w:rPr>
          <w:b/>
          <w:bCs/>
          <w:caps/>
          <w:sz w:val="22"/>
          <w:szCs w:val="22"/>
        </w:rPr>
        <w:t>Sauk County Property Committee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90"/>
        <w:gridCol w:w="4675"/>
      </w:tblGrid>
      <w:tr w:rsidR="009054F0" w:rsidRPr="009054F0" w:rsidTr="00BA0BEF">
        <w:trPr>
          <w:cantSplit/>
          <w:trHeight w:hRule="exact" w:val="108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</w:p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</w:p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>_____________________________________</w:t>
            </w:r>
          </w:p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>Scott Von Asten, Chair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</w:p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</w:p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>_____________________________________</w:t>
            </w:r>
          </w:p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>William Hambrecht</w:t>
            </w:r>
          </w:p>
        </w:tc>
      </w:tr>
      <w:tr w:rsidR="009054F0" w:rsidRPr="009054F0" w:rsidTr="00BA0BEF">
        <w:trPr>
          <w:cantSplit/>
          <w:trHeight w:hRule="exact" w:val="828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</w:p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>_____________________________________</w:t>
            </w:r>
          </w:p>
          <w:p w:rsidR="009054F0" w:rsidRPr="009054F0" w:rsidRDefault="000D1E61" w:rsidP="00BA0BEF">
            <w:pPr>
              <w:pStyle w:val="Table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Shane Gibson</w:t>
            </w:r>
          </w:p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</w:p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>_____________________________________</w:t>
            </w:r>
          </w:p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>Jean Berlin</w:t>
            </w:r>
          </w:p>
        </w:tc>
      </w:tr>
      <w:tr w:rsidR="009054F0" w:rsidRPr="009054F0" w:rsidTr="00BA0BEF">
        <w:trPr>
          <w:cantSplit/>
          <w:trHeight w:hRule="exact" w:val="108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</w:p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>_____________________________________</w:t>
            </w:r>
          </w:p>
          <w:p w:rsidR="009054F0" w:rsidRPr="009054F0" w:rsidRDefault="000D1E61" w:rsidP="00BA0BEF">
            <w:pPr>
              <w:pStyle w:val="Table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Gruber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9054F0" w:rsidRPr="009054F0" w:rsidRDefault="009054F0" w:rsidP="00BA0BEF">
            <w:pPr>
              <w:pStyle w:val="DefaultTex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 xml:space="preserve"> </w:t>
            </w:r>
          </w:p>
        </w:tc>
      </w:tr>
    </w:tbl>
    <w:p w:rsid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  <w:r w:rsidRPr="009054F0">
        <w:rPr>
          <w:b/>
        </w:rPr>
        <w:t>Fiscal Note:</w:t>
      </w:r>
      <w:r w:rsidR="00E817F7">
        <w:t xml:space="preserve">  Funds for the architecture and engineering </w:t>
      </w:r>
      <w:r w:rsidRPr="009054F0">
        <w:t>will be taken from the 201</w:t>
      </w:r>
      <w:r w:rsidR="006A6655">
        <w:t>9</w:t>
      </w:r>
      <w:r w:rsidRPr="009054F0">
        <w:t xml:space="preserve"> Building Services</w:t>
      </w:r>
      <w:r w:rsidR="00E817F7">
        <w:t xml:space="preserve"> Capital Outlay </w:t>
      </w:r>
      <w:r w:rsidRPr="009054F0">
        <w:t>budget</w:t>
      </w:r>
      <w:r w:rsidR="00D4750F">
        <w:t>, and unused amounts will be car</w:t>
      </w:r>
      <w:bookmarkStart w:id="0" w:name="_GoBack"/>
      <w:bookmarkEnd w:id="0"/>
      <w:r w:rsidR="00D4750F">
        <w:t>ried forward to 2020</w:t>
      </w:r>
      <w:r w:rsidRPr="009054F0">
        <w:t>.</w:t>
      </w:r>
    </w:p>
    <w:p w:rsidR="00D9467F" w:rsidRPr="009054F0" w:rsidRDefault="00D9467F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</w:p>
    <w:p w:rsid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  <w:r w:rsidRPr="009054F0">
        <w:rPr>
          <w:rStyle w:val="InitialStyle"/>
          <w:rFonts w:ascii="Times New Roman" w:hAnsi="Times New Roman"/>
          <w:b/>
        </w:rPr>
        <w:t>Information System Note:</w:t>
      </w:r>
      <w:r w:rsidRPr="009054F0">
        <w:rPr>
          <w:rStyle w:val="InitialStyle"/>
          <w:rFonts w:ascii="Times New Roman" w:hAnsi="Times New Roman"/>
        </w:rPr>
        <w:t xml:space="preserve">  </w:t>
      </w:r>
      <w:r w:rsidRPr="009054F0">
        <w:t>No Information system impact.</w:t>
      </w:r>
    </w:p>
    <w:p w:rsidR="00AC4C8F" w:rsidRDefault="00AC4C8F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</w:p>
    <w:p w:rsidR="00AC4C8F" w:rsidRDefault="00AC4C8F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</w:p>
    <w:p w:rsidR="00AC4C8F" w:rsidRDefault="00AC4C8F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</w:p>
    <w:tbl>
      <w:tblPr>
        <w:tblW w:w="8939" w:type="dxa"/>
        <w:tblLook w:val="04A0" w:firstRow="1" w:lastRow="0" w:firstColumn="1" w:lastColumn="0" w:noHBand="0" w:noVBand="1"/>
      </w:tblPr>
      <w:tblGrid>
        <w:gridCol w:w="2460"/>
        <w:gridCol w:w="400"/>
        <w:gridCol w:w="1329"/>
        <w:gridCol w:w="4526"/>
        <w:gridCol w:w="224"/>
      </w:tblGrid>
      <w:tr w:rsidR="00AC4C8F" w:rsidRPr="00AC4C8F" w:rsidTr="00E817F7">
        <w:trPr>
          <w:trHeight w:val="302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6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D71859" w:rsidRDefault="00DE5F83" w:rsidP="00CB567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71859">
              <w:rPr>
                <w:rStyle w:val="InitialStyle"/>
                <w:rFonts w:ascii="Times New Roman" w:hAnsi="Times New Roman"/>
                <w:b/>
                <w:sz w:val="22"/>
                <w:szCs w:val="22"/>
              </w:rPr>
              <w:t>ARCHITECTURAL AND ENGINEERING DESIGN</w:t>
            </w:r>
            <w:r w:rsidR="008836AD" w:rsidRPr="00D718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AC4C8F" w:rsidRPr="00D71859">
              <w:rPr>
                <w:b/>
                <w:bCs/>
                <w:color w:val="000000"/>
                <w:sz w:val="22"/>
                <w:szCs w:val="22"/>
              </w:rPr>
              <w:t>Bid Tally</w:t>
            </w:r>
          </w:p>
        </w:tc>
      </w:tr>
      <w:tr w:rsidR="00AC4C8F" w:rsidRPr="00AC4C8F" w:rsidTr="00E817F7">
        <w:trPr>
          <w:trHeight w:val="241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AC4C8F" w:rsidRPr="00AC4C8F" w:rsidTr="00E817F7">
        <w:trPr>
          <w:trHeight w:val="241"/>
        </w:trPr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C4C8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Contractor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C4C8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Bid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C4C8F" w:rsidRPr="00AC4C8F" w:rsidTr="00E817F7">
        <w:trPr>
          <w:trHeight w:val="241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C8F" w:rsidRPr="00AC4C8F" w:rsidRDefault="00AC4C8F" w:rsidP="00AC4C8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E817F7" w:rsidRPr="00AC4C8F" w:rsidTr="00E817F7">
        <w:trPr>
          <w:trHeight w:val="241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7F7" w:rsidRPr="00E817F7" w:rsidRDefault="00E817F7" w:rsidP="00E817F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E817F7">
              <w:rPr>
                <w:sz w:val="24"/>
                <w:szCs w:val="24"/>
              </w:rPr>
              <w:t>ADCI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7F7" w:rsidRDefault="00E817F7" w:rsidP="00E817F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7F7" w:rsidRDefault="00E817F7" w:rsidP="00E817F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$178,000.00</w:t>
            </w:r>
          </w:p>
          <w:p w:rsidR="00E817F7" w:rsidRDefault="00E817F7" w:rsidP="00E817F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7F7" w:rsidRPr="00AC4C8F" w:rsidRDefault="00E817F7" w:rsidP="00E817F7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E817F7" w:rsidRPr="00AC4C8F" w:rsidTr="00E817F7">
        <w:trPr>
          <w:trHeight w:val="241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7F7" w:rsidRPr="00E817F7" w:rsidRDefault="00E817F7" w:rsidP="00E817F7">
            <w:pPr>
              <w:rPr>
                <w:sz w:val="24"/>
                <w:szCs w:val="24"/>
              </w:rPr>
            </w:pPr>
            <w:r w:rsidRPr="00E817F7">
              <w:rPr>
                <w:sz w:val="24"/>
                <w:szCs w:val="24"/>
              </w:rPr>
              <w:t>Dimension IV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F7" w:rsidRDefault="00E817F7" w:rsidP="00E817F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7F7" w:rsidRDefault="00E817F7" w:rsidP="00E81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$219,000.00</w:t>
            </w:r>
          </w:p>
          <w:p w:rsidR="00E817F7" w:rsidRDefault="00E817F7" w:rsidP="00E817F7">
            <w:pPr>
              <w:rPr>
                <w:rFonts w:ascii="Arial" w:hAnsi="Arial" w:cs="Arial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7F7" w:rsidRPr="00AC4C8F" w:rsidRDefault="00E817F7" w:rsidP="00E817F7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E817F7" w:rsidRPr="00AC4C8F" w:rsidTr="00517A21">
        <w:trPr>
          <w:trHeight w:val="241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7F7" w:rsidRPr="00E817F7" w:rsidRDefault="00E817F7" w:rsidP="00E817F7">
            <w:pPr>
              <w:rPr>
                <w:sz w:val="24"/>
                <w:szCs w:val="24"/>
              </w:rPr>
            </w:pPr>
            <w:r w:rsidRPr="00AF7428">
              <w:rPr>
                <w:sz w:val="24"/>
                <w:szCs w:val="24"/>
                <w:highlight w:val="yellow"/>
              </w:rPr>
              <w:t>Dorschner</w:t>
            </w:r>
            <w:r w:rsidR="00DA3624">
              <w:rPr>
                <w:sz w:val="24"/>
                <w:szCs w:val="24"/>
              </w:rPr>
              <w:t xml:space="preserve"> Associates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F7" w:rsidRDefault="00E817F7" w:rsidP="00E817F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7F7" w:rsidRDefault="00E817F7" w:rsidP="00E81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AF7428">
              <w:rPr>
                <w:rFonts w:ascii="Arial" w:hAnsi="Arial" w:cs="Arial"/>
                <w:highlight w:val="yellow"/>
              </w:rPr>
              <w:t>$174,923.00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7F7" w:rsidRPr="00AC4C8F" w:rsidRDefault="00E817F7" w:rsidP="00E817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817F7" w:rsidRPr="00AC4C8F" w:rsidTr="00E817F7">
        <w:trPr>
          <w:trHeight w:val="241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7F7" w:rsidRPr="00AC4C8F" w:rsidRDefault="00E817F7" w:rsidP="00E817F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7F7" w:rsidRPr="00AC4C8F" w:rsidRDefault="00E817F7" w:rsidP="00E817F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7F7" w:rsidRPr="00AC4C8F" w:rsidRDefault="00E817F7" w:rsidP="00E817F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7F7" w:rsidRPr="00AC4C8F" w:rsidRDefault="00E817F7" w:rsidP="00E817F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7F7" w:rsidRPr="00AC4C8F" w:rsidRDefault="00E817F7" w:rsidP="00E817F7">
            <w:pPr>
              <w:overflowPunct/>
              <w:autoSpaceDE/>
              <w:autoSpaceDN/>
              <w:adjustRightInd/>
              <w:textAlignment w:val="auto"/>
            </w:pPr>
          </w:p>
        </w:tc>
      </w:tr>
    </w:tbl>
    <w:p w:rsidR="00AC4C8F" w:rsidRPr="009054F0" w:rsidRDefault="00E817F7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  <w:r>
        <w:t xml:space="preserve">  Endberg Anderson</w:t>
      </w:r>
      <w:r>
        <w:tab/>
      </w:r>
      <w:r>
        <w:tab/>
      </w:r>
      <w:r>
        <w:tab/>
      </w:r>
      <w:r>
        <w:tab/>
        <w:t xml:space="preserve">   </w:t>
      </w:r>
      <w:r>
        <w:rPr>
          <w:rFonts w:ascii="Arial" w:hAnsi="Arial" w:cs="Arial"/>
          <w:sz w:val="20"/>
        </w:rPr>
        <w:t>$249,500.00</w:t>
      </w:r>
    </w:p>
    <w:p w:rsidR="00A966DA" w:rsidRDefault="00A966DA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</w:p>
    <w:p w:rsidR="00E817F7" w:rsidRDefault="00E817F7">
      <w:pPr>
        <w:pStyle w:val="DefaultText"/>
        <w:jc w:val="both"/>
      </w:pPr>
      <w:r>
        <w:t xml:space="preserve">  Hoffman Planning &amp; Design</w:t>
      </w:r>
      <w:r>
        <w:tab/>
      </w:r>
      <w:r>
        <w:tab/>
        <w:t xml:space="preserve">   </w:t>
      </w:r>
      <w:r>
        <w:rPr>
          <w:rFonts w:ascii="Arial" w:hAnsi="Arial" w:cs="Arial"/>
          <w:sz w:val="20"/>
        </w:rPr>
        <w:t>$115,500.00</w:t>
      </w:r>
    </w:p>
    <w:p w:rsidR="00E817F7" w:rsidRDefault="00E817F7">
      <w:pPr>
        <w:pStyle w:val="DefaultText"/>
        <w:jc w:val="both"/>
      </w:pPr>
    </w:p>
    <w:p w:rsidR="00E817F7" w:rsidRDefault="00E817F7">
      <w:pPr>
        <w:pStyle w:val="DefaultText"/>
        <w:jc w:val="both"/>
      </w:pPr>
      <w:r>
        <w:t xml:space="preserve">  PRA</w:t>
      </w:r>
      <w:r>
        <w:tab/>
      </w:r>
      <w:r>
        <w:tab/>
      </w:r>
      <w:r>
        <w:tab/>
      </w:r>
      <w:r w:rsidR="00AF7428">
        <w:tab/>
      </w:r>
      <w:r w:rsidR="00AF7428">
        <w:tab/>
      </w:r>
      <w:r w:rsidR="00AF7428">
        <w:tab/>
        <w:t xml:space="preserve">   </w:t>
      </w:r>
      <w:r w:rsidR="00AF7428">
        <w:rPr>
          <w:rFonts w:ascii="Arial" w:hAnsi="Arial" w:cs="Arial"/>
          <w:sz w:val="20"/>
        </w:rPr>
        <w:t>$215,000.00</w:t>
      </w:r>
      <w:r>
        <w:tab/>
      </w:r>
      <w:r>
        <w:tab/>
      </w:r>
      <w:r>
        <w:tab/>
      </w:r>
    </w:p>
    <w:p w:rsidR="00E817F7" w:rsidRDefault="00E817F7">
      <w:pPr>
        <w:pStyle w:val="DefaultText"/>
        <w:jc w:val="both"/>
      </w:pPr>
    </w:p>
    <w:p w:rsidR="00E817F7" w:rsidRDefault="00E817F7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  <w:r>
        <w:t xml:space="preserve">  Strang</w:t>
      </w:r>
      <w:r w:rsidR="00AF7428">
        <w:tab/>
      </w:r>
      <w:r w:rsidR="00AF7428">
        <w:tab/>
      </w:r>
      <w:r w:rsidR="00AF7428">
        <w:tab/>
      </w:r>
      <w:r w:rsidR="00AF7428">
        <w:tab/>
      </w:r>
      <w:r w:rsidR="00AF7428">
        <w:tab/>
        <w:t xml:space="preserve">   </w:t>
      </w:r>
      <w:r w:rsidR="00AF7428">
        <w:rPr>
          <w:rFonts w:ascii="Arial" w:hAnsi="Arial" w:cs="Arial"/>
          <w:sz w:val="20"/>
        </w:rPr>
        <w:t>$339,500.00</w:t>
      </w:r>
    </w:p>
    <w:sectPr w:rsidR="00E817F7" w:rsidSect="00E353A7">
      <w:pgSz w:w="12240" w:h="15840"/>
      <w:pgMar w:top="1296" w:right="1440" w:bottom="432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C05" w:rsidRDefault="00B62C05">
      <w:r>
        <w:separator/>
      </w:r>
    </w:p>
  </w:endnote>
  <w:endnote w:type="continuationSeparator" w:id="0">
    <w:p w:rsidR="00B62C05" w:rsidRDefault="00B6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C05" w:rsidRDefault="00B62C05">
      <w:r>
        <w:separator/>
      </w:r>
    </w:p>
  </w:footnote>
  <w:footnote w:type="continuationSeparator" w:id="0">
    <w:p w:rsidR="00B62C05" w:rsidRDefault="00B62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109DA"/>
    <w:rsid w:val="00031E85"/>
    <w:rsid w:val="0003237D"/>
    <w:rsid w:val="00037FE6"/>
    <w:rsid w:val="0007073E"/>
    <w:rsid w:val="000765C0"/>
    <w:rsid w:val="00084DF0"/>
    <w:rsid w:val="00085E59"/>
    <w:rsid w:val="000902E4"/>
    <w:rsid w:val="000951ED"/>
    <w:rsid w:val="000A7E7F"/>
    <w:rsid w:val="000B14D0"/>
    <w:rsid w:val="000B1947"/>
    <w:rsid w:val="000B352B"/>
    <w:rsid w:val="000B59DF"/>
    <w:rsid w:val="000B79FF"/>
    <w:rsid w:val="000D1E61"/>
    <w:rsid w:val="000D6495"/>
    <w:rsid w:val="000F1169"/>
    <w:rsid w:val="001001B3"/>
    <w:rsid w:val="00102C19"/>
    <w:rsid w:val="00110216"/>
    <w:rsid w:val="001319F5"/>
    <w:rsid w:val="00136D1E"/>
    <w:rsid w:val="00150CA4"/>
    <w:rsid w:val="001565D5"/>
    <w:rsid w:val="00166E27"/>
    <w:rsid w:val="001716B0"/>
    <w:rsid w:val="00187648"/>
    <w:rsid w:val="001C22B4"/>
    <w:rsid w:val="001D1E90"/>
    <w:rsid w:val="001E1D83"/>
    <w:rsid w:val="001E4083"/>
    <w:rsid w:val="00200AD2"/>
    <w:rsid w:val="00202D37"/>
    <w:rsid w:val="002219EF"/>
    <w:rsid w:val="00241D5C"/>
    <w:rsid w:val="00257F26"/>
    <w:rsid w:val="00266FFD"/>
    <w:rsid w:val="00287A8B"/>
    <w:rsid w:val="002933D1"/>
    <w:rsid w:val="0029344E"/>
    <w:rsid w:val="002C060F"/>
    <w:rsid w:val="002D1461"/>
    <w:rsid w:val="00301CB0"/>
    <w:rsid w:val="003042CA"/>
    <w:rsid w:val="00311D1A"/>
    <w:rsid w:val="003432A3"/>
    <w:rsid w:val="00355EFD"/>
    <w:rsid w:val="00373B31"/>
    <w:rsid w:val="00387ED3"/>
    <w:rsid w:val="00387FF5"/>
    <w:rsid w:val="00392070"/>
    <w:rsid w:val="00394B25"/>
    <w:rsid w:val="003D4E12"/>
    <w:rsid w:val="003D77F5"/>
    <w:rsid w:val="004043D1"/>
    <w:rsid w:val="00415408"/>
    <w:rsid w:val="0041595A"/>
    <w:rsid w:val="00423630"/>
    <w:rsid w:val="00431245"/>
    <w:rsid w:val="00432102"/>
    <w:rsid w:val="004344A8"/>
    <w:rsid w:val="00446B11"/>
    <w:rsid w:val="00447545"/>
    <w:rsid w:val="004562EC"/>
    <w:rsid w:val="00475279"/>
    <w:rsid w:val="004A0AA8"/>
    <w:rsid w:val="004E1653"/>
    <w:rsid w:val="004F6C0B"/>
    <w:rsid w:val="005006B3"/>
    <w:rsid w:val="00512E8C"/>
    <w:rsid w:val="00530FBF"/>
    <w:rsid w:val="0054045B"/>
    <w:rsid w:val="00550E1A"/>
    <w:rsid w:val="00580075"/>
    <w:rsid w:val="0059274C"/>
    <w:rsid w:val="005A3855"/>
    <w:rsid w:val="005B19C8"/>
    <w:rsid w:val="005B5496"/>
    <w:rsid w:val="005F4649"/>
    <w:rsid w:val="00620B14"/>
    <w:rsid w:val="0064141E"/>
    <w:rsid w:val="00642552"/>
    <w:rsid w:val="00642DA3"/>
    <w:rsid w:val="00655190"/>
    <w:rsid w:val="0067139A"/>
    <w:rsid w:val="00680FBE"/>
    <w:rsid w:val="006828B8"/>
    <w:rsid w:val="00686BBD"/>
    <w:rsid w:val="00687D1C"/>
    <w:rsid w:val="006A6655"/>
    <w:rsid w:val="006D309C"/>
    <w:rsid w:val="006E038E"/>
    <w:rsid w:val="00712121"/>
    <w:rsid w:val="00716A53"/>
    <w:rsid w:val="00721B17"/>
    <w:rsid w:val="00723D8D"/>
    <w:rsid w:val="00724305"/>
    <w:rsid w:val="00726A72"/>
    <w:rsid w:val="00747818"/>
    <w:rsid w:val="00786735"/>
    <w:rsid w:val="00790AD3"/>
    <w:rsid w:val="007910D2"/>
    <w:rsid w:val="0079516B"/>
    <w:rsid w:val="0079739E"/>
    <w:rsid w:val="007A12AD"/>
    <w:rsid w:val="007C39A5"/>
    <w:rsid w:val="007C47AD"/>
    <w:rsid w:val="007C4FFA"/>
    <w:rsid w:val="007C5181"/>
    <w:rsid w:val="007D005D"/>
    <w:rsid w:val="00820D03"/>
    <w:rsid w:val="00840BFF"/>
    <w:rsid w:val="00866135"/>
    <w:rsid w:val="00876B91"/>
    <w:rsid w:val="008836AD"/>
    <w:rsid w:val="008D00C1"/>
    <w:rsid w:val="008E3A7D"/>
    <w:rsid w:val="008F402D"/>
    <w:rsid w:val="008F77A8"/>
    <w:rsid w:val="009054F0"/>
    <w:rsid w:val="00907C08"/>
    <w:rsid w:val="00930511"/>
    <w:rsid w:val="0096444E"/>
    <w:rsid w:val="00976515"/>
    <w:rsid w:val="009A6AA8"/>
    <w:rsid w:val="009C4A16"/>
    <w:rsid w:val="009D5159"/>
    <w:rsid w:val="009F1F30"/>
    <w:rsid w:val="00A00F12"/>
    <w:rsid w:val="00A03D87"/>
    <w:rsid w:val="00A13357"/>
    <w:rsid w:val="00A144E5"/>
    <w:rsid w:val="00A20060"/>
    <w:rsid w:val="00A35072"/>
    <w:rsid w:val="00A36D4F"/>
    <w:rsid w:val="00A446AE"/>
    <w:rsid w:val="00A52BF3"/>
    <w:rsid w:val="00A608F3"/>
    <w:rsid w:val="00A671BB"/>
    <w:rsid w:val="00A749A3"/>
    <w:rsid w:val="00A959D9"/>
    <w:rsid w:val="00A95BC4"/>
    <w:rsid w:val="00A966DA"/>
    <w:rsid w:val="00AA661B"/>
    <w:rsid w:val="00AB79B7"/>
    <w:rsid w:val="00AC331C"/>
    <w:rsid w:val="00AC4C8F"/>
    <w:rsid w:val="00AC5EB6"/>
    <w:rsid w:val="00AF377E"/>
    <w:rsid w:val="00AF5ACA"/>
    <w:rsid w:val="00AF7428"/>
    <w:rsid w:val="00B00C32"/>
    <w:rsid w:val="00B0599E"/>
    <w:rsid w:val="00B2634E"/>
    <w:rsid w:val="00B62C05"/>
    <w:rsid w:val="00B70FB6"/>
    <w:rsid w:val="00B73B46"/>
    <w:rsid w:val="00B7537F"/>
    <w:rsid w:val="00BB7F96"/>
    <w:rsid w:val="00BD352B"/>
    <w:rsid w:val="00BE2690"/>
    <w:rsid w:val="00BE4187"/>
    <w:rsid w:val="00BF1149"/>
    <w:rsid w:val="00C0509E"/>
    <w:rsid w:val="00C1554C"/>
    <w:rsid w:val="00C23B7B"/>
    <w:rsid w:val="00C26190"/>
    <w:rsid w:val="00C30082"/>
    <w:rsid w:val="00C41211"/>
    <w:rsid w:val="00C415C6"/>
    <w:rsid w:val="00C4616B"/>
    <w:rsid w:val="00C60573"/>
    <w:rsid w:val="00C61FC5"/>
    <w:rsid w:val="00C860C2"/>
    <w:rsid w:val="00CB567E"/>
    <w:rsid w:val="00CD5436"/>
    <w:rsid w:val="00D300F2"/>
    <w:rsid w:val="00D40573"/>
    <w:rsid w:val="00D4750F"/>
    <w:rsid w:val="00D64C7D"/>
    <w:rsid w:val="00D71859"/>
    <w:rsid w:val="00D9467F"/>
    <w:rsid w:val="00D95162"/>
    <w:rsid w:val="00D96F5D"/>
    <w:rsid w:val="00DA3624"/>
    <w:rsid w:val="00DA5B8C"/>
    <w:rsid w:val="00DD635D"/>
    <w:rsid w:val="00DE144E"/>
    <w:rsid w:val="00DE5F83"/>
    <w:rsid w:val="00E05362"/>
    <w:rsid w:val="00E0562C"/>
    <w:rsid w:val="00E27A69"/>
    <w:rsid w:val="00E353A7"/>
    <w:rsid w:val="00E67600"/>
    <w:rsid w:val="00E76BCD"/>
    <w:rsid w:val="00E806C7"/>
    <w:rsid w:val="00E817F7"/>
    <w:rsid w:val="00E829F4"/>
    <w:rsid w:val="00E85A83"/>
    <w:rsid w:val="00E90A6B"/>
    <w:rsid w:val="00EC01ED"/>
    <w:rsid w:val="00EC3C3B"/>
    <w:rsid w:val="00EC6508"/>
    <w:rsid w:val="00ED2684"/>
    <w:rsid w:val="00F21A6F"/>
    <w:rsid w:val="00F23456"/>
    <w:rsid w:val="00F3792D"/>
    <w:rsid w:val="00F42060"/>
    <w:rsid w:val="00F44B62"/>
    <w:rsid w:val="00F76C60"/>
    <w:rsid w:val="00F77933"/>
    <w:rsid w:val="00FB27AF"/>
    <w:rsid w:val="00FD66C9"/>
    <w:rsid w:val="00FE3764"/>
    <w:rsid w:val="00FE731A"/>
    <w:rsid w:val="00FF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1EBC08"/>
  <w15:chartTrackingRefBased/>
  <w15:docId w15:val="{7E44A5EB-0677-4B2E-A4DC-E155C1C7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7F5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19C5C-D253-4948-9DB8-E744A0877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2</Pages>
  <Words>298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Ian Crammond</cp:lastModifiedBy>
  <cp:revision>19</cp:revision>
  <cp:lastPrinted>2019-12-04T17:16:00Z</cp:lastPrinted>
  <dcterms:created xsi:type="dcterms:W3CDTF">2019-12-02T21:41:00Z</dcterms:created>
  <dcterms:modified xsi:type="dcterms:W3CDTF">2019-12-05T12:04:00Z</dcterms:modified>
</cp:coreProperties>
</file>