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531E7A" w:rsidRDefault="00023D02" w:rsidP="004E31A5">
      <w:pPr>
        <w:pStyle w:val="DefaultText"/>
        <w:jc w:val="center"/>
        <w:rPr>
          <w:b/>
        </w:rPr>
      </w:pPr>
      <w:r w:rsidRPr="00023D02">
        <w:rPr>
          <w:b/>
        </w:rPr>
        <w:t xml:space="preserve"> </w:t>
      </w:r>
      <w:r w:rsidR="004E31A5">
        <w:rPr>
          <w:b/>
        </w:rPr>
        <w:t>AUTH</w:t>
      </w:r>
      <w:r w:rsidR="003D1E63">
        <w:rPr>
          <w:b/>
        </w:rPr>
        <w:t>ORIZING THE CREATION OF ONE PART</w:t>
      </w:r>
      <w:r w:rsidR="004E31A5">
        <w:rPr>
          <w:b/>
        </w:rPr>
        <w:t xml:space="preserve"> TIME </w:t>
      </w:r>
    </w:p>
    <w:p w:rsidR="00531E7A" w:rsidRDefault="003D1E63" w:rsidP="004E31A5">
      <w:pPr>
        <w:pStyle w:val="DefaultText"/>
        <w:jc w:val="center"/>
        <w:rPr>
          <w:b/>
          <w:color w:val="auto"/>
        </w:rPr>
      </w:pPr>
      <w:r>
        <w:rPr>
          <w:b/>
        </w:rPr>
        <w:t>EDUCATION NAVIGATOR</w:t>
      </w:r>
      <w:r w:rsidR="00531E7A">
        <w:rPr>
          <w:b/>
        </w:rPr>
        <w:t xml:space="preserve"> (0.75 FTE)</w:t>
      </w:r>
      <w:r w:rsidR="00531E7A"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7666990</wp:posOffset>
                </wp:positionV>
                <wp:extent cx="5920740" cy="289560"/>
                <wp:effectExtent l="19050" t="171450" r="22860" b="1676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BE4C22">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603.7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BE4C22">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BE4C22"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428625</wp:posOffset>
                </wp:positionV>
                <wp:extent cx="5913120" cy="7226935"/>
                <wp:effectExtent l="0" t="0" r="1143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226935"/>
                        </a:xfrm>
                        <a:prstGeom prst="rect">
                          <a:avLst/>
                        </a:prstGeom>
                        <a:solidFill>
                          <a:srgbClr val="FFFFFF"/>
                        </a:solidFill>
                        <a:ln w="9525">
                          <a:solidFill>
                            <a:srgbClr val="000000"/>
                          </a:solidFill>
                          <a:miter lim="800000"/>
                          <a:headEnd/>
                          <a:tailEnd/>
                        </a:ln>
                      </wps:spPr>
                      <wps:txbx>
                        <w:txbxContent>
                          <w:p w:rsidR="00EA31D8" w:rsidRPr="00BE685C" w:rsidRDefault="00644A98" w:rsidP="004E31A5">
                            <w:r>
                              <w:rPr>
                                <w:b/>
                                <w:i/>
                              </w:rPr>
                              <w:t>Background</w:t>
                            </w:r>
                            <w:r w:rsidRPr="00BE685C">
                              <w:rPr>
                                <w:b/>
                                <w:i/>
                              </w:rPr>
                              <w:t>:</w:t>
                            </w:r>
                            <w:r w:rsidRPr="00BE685C">
                              <w:t xml:space="preserve"> </w:t>
                            </w:r>
                            <w:r w:rsidR="00A551DE" w:rsidRPr="00BE685C">
                              <w:t xml:space="preserve"> </w:t>
                            </w:r>
                            <w:r w:rsidR="00655F9A" w:rsidRPr="00BE685C">
                              <w:t xml:space="preserve">  </w:t>
                            </w:r>
                            <w:r w:rsidR="002A3D23" w:rsidRPr="00BE685C">
                              <w:t xml:space="preserve">The </w:t>
                            </w:r>
                            <w:r w:rsidR="004E31A5" w:rsidRPr="00BE685C">
                              <w:t>long term goal of the Criminal Justice Coordinating Council</w:t>
                            </w:r>
                            <w:r w:rsidR="00084CB2">
                              <w:t xml:space="preserve"> (CJCC)</w:t>
                            </w:r>
                            <w:r w:rsidR="004E31A5" w:rsidRPr="00BE685C">
                              <w:t xml:space="preserve"> 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BE685C" w:rsidRDefault="004E31A5" w:rsidP="004E31A5"/>
                          <w:p w:rsidR="004E31A5" w:rsidRDefault="004E31A5" w:rsidP="004E31A5">
                            <w:pPr>
                              <w:pStyle w:val="DefaultText"/>
                              <w:rPr>
                                <w:color w:val="auto"/>
                                <w:sz w:val="20"/>
                              </w:rPr>
                            </w:pPr>
                            <w:r w:rsidRPr="00BE685C">
                              <w:rPr>
                                <w:color w:val="auto"/>
                                <w:sz w:val="20"/>
                              </w:rPr>
                              <w:t xml:space="preserve">Sauk County Health Department is uniquely positioned to lead efforts to provide resources and services to individuals upon release/returning home which can ultimately break the cycle of incarceration and result in safer and healthier communities. The </w:t>
                            </w:r>
                            <w:r w:rsidR="00084CB2">
                              <w:rPr>
                                <w:color w:val="auto"/>
                                <w:sz w:val="20"/>
                              </w:rPr>
                              <w:t>Education Navigator</w:t>
                            </w:r>
                            <w:r w:rsidRPr="00BE685C">
                              <w:rPr>
                                <w:color w:val="auto"/>
                                <w:sz w:val="20"/>
                              </w:rPr>
                              <w:t xml:space="preserve"> would support the Health Department by addressing top priorities of Mental Health and Substance Abuse identified in the Community Health Needs Assessment and Improvement Plan.</w:t>
                            </w:r>
                          </w:p>
                          <w:p w:rsidR="00BE4C22" w:rsidRDefault="00BE4C22" w:rsidP="004E31A5">
                            <w:pPr>
                              <w:pStyle w:val="DefaultText"/>
                              <w:rPr>
                                <w:sz w:val="20"/>
                              </w:rPr>
                            </w:pPr>
                            <w:r>
                              <w:rPr>
                                <w:sz w:val="20"/>
                              </w:rPr>
                              <w:t>“</w:t>
                            </w:r>
                            <w:r w:rsidR="00084CB2">
                              <w:rPr>
                                <w:sz w:val="20"/>
                              </w:rPr>
                              <w:t>CJCC</w:t>
                            </w:r>
                            <w:r>
                              <w:rPr>
                                <w:sz w:val="20"/>
                              </w:rPr>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084CB2">
                              <w:rPr>
                                <w:sz w:val="20"/>
                              </w:rPr>
                              <w:t>CJCC</w:t>
                            </w:r>
                            <w:r>
                              <w:rPr>
                                <w:sz w:val="20"/>
                              </w:rPr>
                              <w:t xml:space="preserve"> will improve communication between participating agencies and use a collaborative approach to respond to criminal conduct and to provide coordinated services”.</w:t>
                            </w:r>
                          </w:p>
                          <w:p w:rsidR="00BE4C22" w:rsidRDefault="00BE4C22" w:rsidP="004E31A5">
                            <w:pPr>
                              <w:pStyle w:val="DefaultText"/>
                              <w:rPr>
                                <w:sz w:val="20"/>
                              </w:rPr>
                            </w:pPr>
                          </w:p>
                          <w:p w:rsidR="00BE4C22" w:rsidRDefault="00BE4C22" w:rsidP="004E31A5">
                            <w:pPr>
                              <w:pStyle w:val="DefaultText"/>
                              <w:rPr>
                                <w:sz w:val="20"/>
                              </w:rPr>
                            </w:pPr>
                            <w:r>
                              <w:rPr>
                                <w:sz w:val="20"/>
                              </w:rPr>
                              <w:t xml:space="preserve">This correlates to the major goals of the County Board-approved Stepping Up Initiative: decrease jail length of stay, decrease number of those incarcerated, decrease recidivism, increase referrals to behavioral health services.  </w:t>
                            </w:r>
                            <w:r w:rsidRPr="00EF1698">
                              <w:rPr>
                                <w:sz w:val="20"/>
                              </w:rPr>
                              <w:t xml:space="preserve">In order to reduce </w:t>
                            </w:r>
                            <w:r>
                              <w:rPr>
                                <w:sz w:val="20"/>
                              </w:rPr>
                              <w:t xml:space="preserve">recidivism, </w:t>
                            </w:r>
                            <w:r w:rsidRPr="00EF1698">
                              <w:rPr>
                                <w:sz w:val="20"/>
                              </w:rPr>
                              <w:t>the CJCC is developing a</w:t>
                            </w:r>
                            <w:r w:rsidR="00084CB2">
                              <w:rPr>
                                <w:sz w:val="20"/>
                              </w:rPr>
                              <w:t>n</w:t>
                            </w:r>
                            <w:r w:rsidRPr="00EF1698">
                              <w:rPr>
                                <w:sz w:val="20"/>
                              </w:rPr>
                              <w:t xml:space="preserve"> </w:t>
                            </w:r>
                            <w:r w:rsidR="00084CB2">
                              <w:rPr>
                                <w:sz w:val="20"/>
                              </w:rPr>
                              <w:t>Education Navigator</w:t>
                            </w:r>
                            <w:r w:rsidRPr="00EF1698">
                              <w:rPr>
                                <w:sz w:val="20"/>
                              </w:rPr>
                              <w:t xml:space="preserve"> position to assist incarcerated individuals with a successful transition back to the community after release.</w:t>
                            </w:r>
                            <w:r>
                              <w:rPr>
                                <w:sz w:val="20"/>
                              </w:rPr>
                              <w:t xml:space="preserve"> This Educ</w:t>
                            </w:r>
                            <w:r w:rsidR="00084CB2">
                              <w:rPr>
                                <w:sz w:val="20"/>
                              </w:rPr>
                              <w:t>ational Navigator position will</w:t>
                            </w:r>
                            <w:r>
                              <w:rPr>
                                <w:sz w:val="20"/>
                              </w:rPr>
                              <w:t xml:space="preserve"> develop pathways to educational resources ( instruction, tutoring, training, testing/credentialing, incentives, transportation) understanding that some people involved in the criminal justice system will use education as a pathway out of incarceration and into employment. Incarceration – particularly without an education – can adversely affect individuals and their families.  Often the children of incarcerated persons suffer unmet social needs (food insecurity, housing insecurity, insufficient access to health care) leading to adverse childhood experiences and trauma that could span generations.  A goal is to reduce the </w:t>
                            </w:r>
                            <w:r w:rsidR="00084CB2">
                              <w:rPr>
                                <w:sz w:val="20"/>
                              </w:rPr>
                              <w:t>inter</w:t>
                            </w:r>
                            <w:r>
                              <w:rPr>
                                <w:sz w:val="20"/>
                              </w:rPr>
                              <w:t xml:space="preserve">generational cycle of incarceration, recidivism, and revocation rates. It is anticipated that this change will also lead to more formerly incarcerated individuals becoming, and staying employed which should lead to greater access to health care, improved health conditions, and reduced adverse childhood experiences (ACEs) and trauma for the children of the incarcerated. </w:t>
                            </w:r>
                            <w:r w:rsidRPr="00EF1698">
                              <w:rPr>
                                <w:sz w:val="20"/>
                              </w:rPr>
                              <w:t xml:space="preserve">This model </w:t>
                            </w:r>
                            <w:r>
                              <w:rPr>
                                <w:sz w:val="20"/>
                              </w:rPr>
                              <w:t xml:space="preserve">will </w:t>
                            </w:r>
                            <w:r w:rsidRPr="00EF1698">
                              <w:rPr>
                                <w:sz w:val="20"/>
                              </w:rPr>
                              <w:t xml:space="preserve">support returning citizens </w:t>
                            </w:r>
                            <w:r>
                              <w:rPr>
                                <w:sz w:val="20"/>
                              </w:rPr>
                              <w:t>to</w:t>
                            </w:r>
                            <w:r w:rsidRPr="00EF1698">
                              <w:rPr>
                                <w:sz w:val="20"/>
                              </w:rPr>
                              <w:t xml:space="preserve"> becoming productive, tax paying, citizens, with access to substance use and mental health treatment services.</w:t>
                            </w:r>
                          </w:p>
                          <w:p w:rsidR="00BE4C22" w:rsidRDefault="00BE4C22" w:rsidP="004E31A5">
                            <w:pPr>
                              <w:pStyle w:val="DefaultText"/>
                              <w:rPr>
                                <w:sz w:val="20"/>
                              </w:rPr>
                            </w:pPr>
                            <w:r>
                              <w:rPr>
                                <w:sz w:val="20"/>
                              </w:rPr>
                              <w:t>This position would be a collaboration between Sauk County Health Department/CJCC, Sheriff’s Department, SSM Health, UW Platteville Sauk County Baraboo Campus, and UW Madison’s Population Health Institute’s MATCH program. This position will aid in decreasing recidivism design</w:t>
                            </w:r>
                            <w:r w:rsidR="00084CB2">
                              <w:rPr>
                                <w:sz w:val="20"/>
                              </w:rPr>
                              <w:t>ing</w:t>
                            </w:r>
                            <w:r>
                              <w:rPr>
                                <w:sz w:val="20"/>
                              </w:rPr>
                              <w:t xml:space="preserve"> and deliver</w:t>
                            </w:r>
                            <w:r w:rsidR="00084CB2">
                              <w:rPr>
                                <w:sz w:val="20"/>
                              </w:rPr>
                              <w:t>ing connections,</w:t>
                            </w:r>
                            <w:r>
                              <w:rPr>
                                <w:sz w:val="20"/>
                              </w:rPr>
                              <w:t xml:space="preserve"> information and programming that will incentivize and guide participates through an educational instruction, tutoring, testing, and credentialing process. Target groups that may be involved would be those currently incarcerated, Huber inmates, Adult Treatment Court participants, Medication Assisted Treatment participants and residents on extended supervision (prison release). Responsibilities would also include identifying barriers to education and training opportunities, as well as referrals to local support for job placements.  </w:t>
                            </w:r>
                          </w:p>
                          <w:p w:rsidR="00084CB2" w:rsidRPr="00BE685C" w:rsidRDefault="00084CB2" w:rsidP="004E31A5">
                            <w:pPr>
                              <w:pStyle w:val="DefaultText"/>
                              <w:rPr>
                                <w:color w:val="auto"/>
                                <w:sz w:val="20"/>
                              </w:rPr>
                            </w:pPr>
                          </w:p>
                          <w:p w:rsidR="00EB3D74" w:rsidRPr="003D1E63" w:rsidRDefault="00BE4C22" w:rsidP="004E31A5">
                            <w:pPr>
                              <w:rPr>
                                <w:color w:val="FF0000"/>
                              </w:rPr>
                            </w:pPr>
                            <w:r>
                              <w:t>Currently Sauk County inmates have access to computers in the jail and support with test proctoring but lack additional tutoring time or incentives. With the GED test changing recently, very few inmates have successfully completed the required tests to obtain a GED. This position could provide current inmates with additional tutoring, and provide incentives</w:t>
                            </w:r>
                            <w:r w:rsidR="00084CB2">
                              <w:t xml:space="preserve"> for positive testing outcomes </w:t>
                            </w:r>
                            <w:r>
                              <w:t>(</w:t>
                            </w:r>
                            <w:r w:rsidR="00084CB2">
                              <w:t>p</w:t>
                            </w:r>
                            <w:r>
                              <w:t>hone minutes and canteen dollars)</w:t>
                            </w:r>
                            <w:r w:rsidR="00084CB2">
                              <w:t>.</w:t>
                            </w:r>
                            <w:r>
                              <w:t xml:space="preserve"> Currently, lack of a local GED testing sight, testing fees, tutoring, transportation, and incentives are barriers to Huber, ATC, and extended supervision residents successfully receiving a GED/HSED.  </w:t>
                            </w:r>
                          </w:p>
                          <w:p w:rsidR="00EB3D74" w:rsidRPr="00BE4C22" w:rsidRDefault="00EB3D74" w:rsidP="004E31A5">
                            <w:r w:rsidRPr="00BE4C22">
                              <w:t xml:space="preserve">The </w:t>
                            </w:r>
                            <w:r w:rsidR="00BE4C22" w:rsidRPr="00BE4C22">
                              <w:t>SSM Health</w:t>
                            </w:r>
                            <w:r w:rsidRPr="00BE4C22">
                              <w:t xml:space="preserve"> </w:t>
                            </w:r>
                            <w:r w:rsidR="00BE4C22" w:rsidRPr="00BE4C22">
                              <w:t xml:space="preserve">grant </w:t>
                            </w:r>
                            <w:r w:rsidRPr="00BE4C22">
                              <w:t>will fund this 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33.75pt;width:465.6pt;height:569.0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">
                <v:textbox>
                  <w:txbxContent>
                    <w:p w:rsidR="00EA31D8" w:rsidRPr="00BE685C" w:rsidRDefault="00644A98" w:rsidP="004E31A5">
                      <w:r>
                        <w:rPr>
                          <w:b/>
                          <w:i/>
                        </w:rPr>
                        <w:t>Background</w:t>
                      </w:r>
                      <w:r w:rsidRPr="00BE685C">
                        <w:rPr>
                          <w:b/>
                          <w:i/>
                        </w:rPr>
                        <w:t>:</w:t>
                      </w:r>
                      <w:r w:rsidRPr="00BE685C">
                        <w:t xml:space="preserve"> </w:t>
                      </w:r>
                      <w:r w:rsidR="00A551DE" w:rsidRPr="00BE685C">
                        <w:t xml:space="preserve"> </w:t>
                      </w:r>
                      <w:r w:rsidR="00655F9A" w:rsidRPr="00BE685C">
                        <w:t xml:space="preserve">  </w:t>
                      </w:r>
                      <w:r w:rsidR="002A3D23" w:rsidRPr="00BE685C">
                        <w:t xml:space="preserve">The </w:t>
                      </w:r>
                      <w:r w:rsidR="004E31A5" w:rsidRPr="00BE685C">
                        <w:t>long term goal of the Criminal Justice Coordinating Council</w:t>
                      </w:r>
                      <w:r w:rsidR="00084CB2">
                        <w:t xml:space="preserve"> (CJCC)</w:t>
                      </w:r>
                      <w:r w:rsidR="004E31A5" w:rsidRPr="00BE685C">
                        <w:t xml:space="preserve"> is to support a safe and healthy community, offer accessible opportunities to positively change individual’s lives while being fiscally responsible.  The Criminal Justice Coordinating Council and Stepping Up Initiative (Resolution #5-16) includes, Justice &amp; Public Safety - Criminal Justice Coordinating Council release planning and re-entry.</w:t>
                      </w:r>
                    </w:p>
                    <w:p w:rsidR="004E31A5" w:rsidRPr="00BE685C" w:rsidRDefault="004E31A5" w:rsidP="004E31A5"/>
                    <w:p w:rsidR="004E31A5" w:rsidRDefault="004E31A5" w:rsidP="004E31A5">
                      <w:pPr>
                        <w:pStyle w:val="DefaultText"/>
                        <w:rPr>
                          <w:color w:val="auto"/>
                          <w:sz w:val="20"/>
                        </w:rPr>
                      </w:pPr>
                      <w:r w:rsidRPr="00BE685C">
                        <w:rPr>
                          <w:color w:val="auto"/>
                          <w:sz w:val="20"/>
                        </w:rPr>
                        <w:t xml:space="preserve">Sauk County Health Department is uniquely positioned to lead efforts to provide resources and services to individuals upon release/returning home which can ultimately break the cycle of incarceration and result in safer and healthier communities. The </w:t>
                      </w:r>
                      <w:r w:rsidR="00084CB2">
                        <w:rPr>
                          <w:color w:val="auto"/>
                          <w:sz w:val="20"/>
                        </w:rPr>
                        <w:t>Education Navigator</w:t>
                      </w:r>
                      <w:r w:rsidRPr="00BE685C">
                        <w:rPr>
                          <w:color w:val="auto"/>
                          <w:sz w:val="20"/>
                        </w:rPr>
                        <w:t xml:space="preserve"> would support the Health Department by addressing top priorities of Mental Health and Substance Abuse identified in the Community Health Needs Assessment and Improvement Plan.</w:t>
                      </w:r>
                    </w:p>
                    <w:p w:rsidR="00BE4C22" w:rsidRDefault="00BE4C22" w:rsidP="004E31A5">
                      <w:pPr>
                        <w:pStyle w:val="DefaultText"/>
                        <w:rPr>
                          <w:sz w:val="20"/>
                        </w:rPr>
                      </w:pPr>
                      <w:r>
                        <w:rPr>
                          <w:sz w:val="20"/>
                        </w:rPr>
                        <w:t>“</w:t>
                      </w:r>
                      <w:r w:rsidR="00084CB2">
                        <w:rPr>
                          <w:sz w:val="20"/>
                        </w:rPr>
                        <w:t>CJCC</w:t>
                      </w:r>
                      <w:r>
                        <w:rPr>
                          <w:sz w:val="20"/>
                        </w:rPr>
                        <w:t xml:space="preserve"> will use data driven, evidence based practices to inform decision making and will examine and respond to the root cause of crime, in an effort to reduce crime, create a safer community, and provide effective treatment for individuals and families involved in the Sauk County Criminal Justice System.  The </w:t>
                      </w:r>
                      <w:r w:rsidR="00084CB2">
                        <w:rPr>
                          <w:sz w:val="20"/>
                        </w:rPr>
                        <w:t>CJCC</w:t>
                      </w:r>
                      <w:r>
                        <w:rPr>
                          <w:sz w:val="20"/>
                        </w:rPr>
                        <w:t xml:space="preserve"> will improve communication between participating agencies and use a collaborative approach to respond to criminal conduct and to provide coordinated services”.</w:t>
                      </w:r>
                    </w:p>
                    <w:p w:rsidR="00BE4C22" w:rsidRDefault="00BE4C22" w:rsidP="004E31A5">
                      <w:pPr>
                        <w:pStyle w:val="DefaultText"/>
                        <w:rPr>
                          <w:sz w:val="20"/>
                        </w:rPr>
                      </w:pPr>
                    </w:p>
                    <w:p w:rsidR="00BE4C22" w:rsidRDefault="00BE4C22" w:rsidP="004E31A5">
                      <w:pPr>
                        <w:pStyle w:val="DefaultText"/>
                        <w:rPr>
                          <w:sz w:val="20"/>
                        </w:rPr>
                      </w:pPr>
                      <w:r>
                        <w:rPr>
                          <w:sz w:val="20"/>
                        </w:rPr>
                        <w:t xml:space="preserve">This correlates to the major goals of the County Board-approved Stepping Up Initiative: decrease jail length of stay, decrease number of those incarcerated, decrease recidivism, increase referrals to behavioral health services.  </w:t>
                      </w:r>
                      <w:r w:rsidRPr="00EF1698">
                        <w:rPr>
                          <w:sz w:val="20"/>
                        </w:rPr>
                        <w:t xml:space="preserve">In order to reduce </w:t>
                      </w:r>
                      <w:r>
                        <w:rPr>
                          <w:sz w:val="20"/>
                        </w:rPr>
                        <w:t xml:space="preserve">recidivism, </w:t>
                      </w:r>
                      <w:r w:rsidRPr="00EF1698">
                        <w:rPr>
                          <w:sz w:val="20"/>
                        </w:rPr>
                        <w:t>the CJCC is developing a</w:t>
                      </w:r>
                      <w:r w:rsidR="00084CB2">
                        <w:rPr>
                          <w:sz w:val="20"/>
                        </w:rPr>
                        <w:t>n</w:t>
                      </w:r>
                      <w:r w:rsidRPr="00EF1698">
                        <w:rPr>
                          <w:sz w:val="20"/>
                        </w:rPr>
                        <w:t xml:space="preserve"> </w:t>
                      </w:r>
                      <w:r w:rsidR="00084CB2">
                        <w:rPr>
                          <w:sz w:val="20"/>
                        </w:rPr>
                        <w:t>Education Navigator</w:t>
                      </w:r>
                      <w:r w:rsidRPr="00EF1698">
                        <w:rPr>
                          <w:sz w:val="20"/>
                        </w:rPr>
                        <w:t xml:space="preserve"> position to assist incarcerated individuals with a successful transition back to the community after release.</w:t>
                      </w:r>
                      <w:r>
                        <w:rPr>
                          <w:sz w:val="20"/>
                        </w:rPr>
                        <w:t xml:space="preserve"> This Educ</w:t>
                      </w:r>
                      <w:r w:rsidR="00084CB2">
                        <w:rPr>
                          <w:sz w:val="20"/>
                        </w:rPr>
                        <w:t>ational Navigator position will</w:t>
                      </w:r>
                      <w:r>
                        <w:rPr>
                          <w:sz w:val="20"/>
                        </w:rPr>
                        <w:t xml:space="preserve"> develop pathways to educational resources ( instruction, tutoring, training, testing/credentialing, incentives, transportation) understanding that some people involved in the criminal justice system will use education as a pathway out of incarceration and into employment. Incarceration – particularly without an education – can adversely affect individuals and their families.  Often the children of incarcerated persons suffer unmet social needs (food insecurity, housing insecurity, insufficient access to health care) leading to adverse childhood experiences and trauma that could span generations.  A goal is to reduce the </w:t>
                      </w:r>
                      <w:r w:rsidR="00084CB2">
                        <w:rPr>
                          <w:sz w:val="20"/>
                        </w:rPr>
                        <w:t>inter</w:t>
                      </w:r>
                      <w:r>
                        <w:rPr>
                          <w:sz w:val="20"/>
                        </w:rPr>
                        <w:t xml:space="preserve">generational cycle of incarceration, recidivism, and revocation rates. It is anticipated that this change will also lead to more formerly incarcerated individuals becoming, and staying employed which should lead to greater access to health care, improved health conditions, and reduced adverse childhood experiences (ACEs) and trauma for the children of the incarcerated. </w:t>
                      </w:r>
                      <w:r w:rsidRPr="00EF1698">
                        <w:rPr>
                          <w:sz w:val="20"/>
                        </w:rPr>
                        <w:t xml:space="preserve">This model </w:t>
                      </w:r>
                      <w:r>
                        <w:rPr>
                          <w:sz w:val="20"/>
                        </w:rPr>
                        <w:t xml:space="preserve">will </w:t>
                      </w:r>
                      <w:r w:rsidRPr="00EF1698">
                        <w:rPr>
                          <w:sz w:val="20"/>
                        </w:rPr>
                        <w:t xml:space="preserve">support returning citizens </w:t>
                      </w:r>
                      <w:r>
                        <w:rPr>
                          <w:sz w:val="20"/>
                        </w:rPr>
                        <w:t>to</w:t>
                      </w:r>
                      <w:r w:rsidRPr="00EF1698">
                        <w:rPr>
                          <w:sz w:val="20"/>
                        </w:rPr>
                        <w:t xml:space="preserve"> becoming productive, tax paying, citizens, with access to substance use and mental health treatment services.</w:t>
                      </w:r>
                    </w:p>
                    <w:p w:rsidR="00BE4C22" w:rsidRDefault="00BE4C22" w:rsidP="004E31A5">
                      <w:pPr>
                        <w:pStyle w:val="DefaultText"/>
                        <w:rPr>
                          <w:sz w:val="20"/>
                        </w:rPr>
                      </w:pPr>
                      <w:r>
                        <w:rPr>
                          <w:sz w:val="20"/>
                        </w:rPr>
                        <w:t>This position would be a collaboration between Sauk County Health Department/CJCC, Sheriff’s Department, SSM Health, UW Platteville Sauk County Baraboo Campus, and UW Madison’s Population Health Institute’s MATCH program. This position will aid in decreasing recidivism design</w:t>
                      </w:r>
                      <w:r w:rsidR="00084CB2">
                        <w:rPr>
                          <w:sz w:val="20"/>
                        </w:rPr>
                        <w:t>ing</w:t>
                      </w:r>
                      <w:r>
                        <w:rPr>
                          <w:sz w:val="20"/>
                        </w:rPr>
                        <w:t xml:space="preserve"> and deliver</w:t>
                      </w:r>
                      <w:r w:rsidR="00084CB2">
                        <w:rPr>
                          <w:sz w:val="20"/>
                        </w:rPr>
                        <w:t>ing connections,</w:t>
                      </w:r>
                      <w:r>
                        <w:rPr>
                          <w:sz w:val="20"/>
                        </w:rPr>
                        <w:t xml:space="preserve"> information and programming that will incentivize and guide participates through an educational instruction, tutoring, testing, and credentialing process. Target groups that may be involved would be those currently incarcerated, Huber inmates, Adult Treatment Court participants, Medication Assisted Treatment participants and residents on extended supervision (prison release). Responsibilities would also include identifying barriers to education and training opportunities, as well as referrals to local support for job placements.  </w:t>
                      </w:r>
                    </w:p>
                    <w:p w:rsidR="00084CB2" w:rsidRPr="00BE685C" w:rsidRDefault="00084CB2" w:rsidP="004E31A5">
                      <w:pPr>
                        <w:pStyle w:val="DefaultText"/>
                        <w:rPr>
                          <w:color w:val="auto"/>
                          <w:sz w:val="20"/>
                        </w:rPr>
                      </w:pPr>
                    </w:p>
                    <w:p w:rsidR="00EB3D74" w:rsidRPr="003D1E63" w:rsidRDefault="00BE4C22" w:rsidP="004E31A5">
                      <w:pPr>
                        <w:rPr>
                          <w:color w:val="FF0000"/>
                        </w:rPr>
                      </w:pPr>
                      <w:r>
                        <w:t>Currently Sauk County inmates have access to computers in the jail and support with test proctoring but lack additional tutoring time or incentives. With the GED test changing recently, very few inmates have successfully completed the required tests to obtain a GED. This position could provide current inmates with additional tutoring, and provide incentives</w:t>
                      </w:r>
                      <w:r w:rsidR="00084CB2">
                        <w:t xml:space="preserve"> for positive testing outcomes </w:t>
                      </w:r>
                      <w:r>
                        <w:t>(</w:t>
                      </w:r>
                      <w:r w:rsidR="00084CB2">
                        <w:t>p</w:t>
                      </w:r>
                      <w:r>
                        <w:t>hone minutes and canteen dollars)</w:t>
                      </w:r>
                      <w:r w:rsidR="00084CB2">
                        <w:t>.</w:t>
                      </w:r>
                      <w:r>
                        <w:t xml:space="preserve"> Currently, lack of a local GED testing sight, testing fees, tutoring, transportation, and incentives are barriers to Huber, ATC, and extended supervision residents successfully receiving a GED/HSED.  </w:t>
                      </w:r>
                    </w:p>
                    <w:p w:rsidR="00EB3D74" w:rsidRPr="00BE4C22" w:rsidRDefault="00EB3D74" w:rsidP="004E31A5">
                      <w:r w:rsidRPr="00BE4C22">
                        <w:t xml:space="preserve">The </w:t>
                      </w:r>
                      <w:r w:rsidR="00BE4C22" w:rsidRPr="00BE4C22">
                        <w:t>SSM Health</w:t>
                      </w:r>
                      <w:r w:rsidRPr="00BE4C22">
                        <w:t xml:space="preserve"> </w:t>
                      </w:r>
                      <w:r w:rsidR="00BE4C22" w:rsidRPr="00BE4C22">
                        <w:t xml:space="preserve">grant </w:t>
                      </w:r>
                      <w:r w:rsidRPr="00BE4C22">
                        <w:t>will fund this position.</w:t>
                      </w:r>
                    </w:p>
                  </w:txbxContent>
                </v:textbox>
                <w10:wrap type="square" anchorx="margin"/>
              </v:shape>
            </w:pict>
          </mc:Fallback>
        </mc:AlternateContent>
      </w:r>
      <w:r w:rsidR="004E31A5">
        <w:rPr>
          <w:b/>
        </w:rPr>
        <w:t xml:space="preserve"> POSITION </w:t>
      </w:r>
      <w:r w:rsidR="004E31A5" w:rsidRPr="00AE014E">
        <w:rPr>
          <w:b/>
          <w:color w:val="auto"/>
        </w:rPr>
        <w:t xml:space="preserve">FOR THE </w:t>
      </w:r>
    </w:p>
    <w:p w:rsidR="004E31A5" w:rsidRPr="00AE014E" w:rsidRDefault="004E31A5" w:rsidP="004E31A5">
      <w:pPr>
        <w:pStyle w:val="DefaultText"/>
        <w:jc w:val="center"/>
        <w:rPr>
          <w:b/>
          <w:color w:val="auto"/>
        </w:rPr>
      </w:pPr>
      <w:bookmarkStart w:id="0" w:name="_GoBack"/>
      <w:bookmarkEnd w:id="0"/>
      <w:r w:rsidRPr="00AE014E">
        <w:rPr>
          <w:b/>
          <w:color w:val="auto"/>
        </w:rPr>
        <w:t xml:space="preserve">SAUK COUNTY HEALTH DEPARTMENT (SCHD) </w:t>
      </w:r>
      <w:r>
        <w:rPr>
          <w:b/>
          <w:color w:val="auto"/>
        </w:rPr>
        <w:t>IN THE 2020</w:t>
      </w:r>
      <w:r w:rsidRPr="00AE014E">
        <w:rPr>
          <w:b/>
          <w:color w:val="auto"/>
        </w:rPr>
        <w:t xml:space="preserve"> BUDGET PROCESS</w:t>
      </w:r>
    </w:p>
    <w:p w:rsidR="0067139A" w:rsidRDefault="0067139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A3D2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A3D23" w:rsidRDefault="002A3D23" w:rsidP="002A3D23">
      <w:pPr>
        <w:pStyle w:val="DefaultText"/>
        <w:jc w:val="both"/>
      </w:pPr>
      <w:r>
        <w:rPr>
          <w:b/>
        </w:rPr>
        <w:t>NOW, THEREFORE, BE IT RESOLVED,</w:t>
      </w:r>
      <w:r w:rsidRPr="00BB4E62">
        <w:rPr>
          <w:b/>
          <w:sz w:val="22"/>
          <w:szCs w:val="22"/>
        </w:rPr>
        <w:t xml:space="preserve"> </w:t>
      </w:r>
      <w:r w:rsidRPr="00BB4E62">
        <w:rPr>
          <w:sz w:val="22"/>
          <w:szCs w:val="22"/>
        </w:rPr>
        <w:t>by</w:t>
      </w:r>
      <w:r>
        <w:rPr>
          <w:sz w:val="22"/>
          <w:szCs w:val="22"/>
        </w:rPr>
        <w:t xml:space="preserve"> that </w:t>
      </w:r>
      <w:r w:rsidRPr="00BB4E62">
        <w:rPr>
          <w:sz w:val="22"/>
          <w:szCs w:val="22"/>
        </w:rPr>
        <w:t xml:space="preserve">the Sauk County </w:t>
      </w:r>
      <w:r>
        <w:rPr>
          <w:sz w:val="22"/>
          <w:szCs w:val="22"/>
        </w:rPr>
        <w:t>Health Department be authorized to create one</w:t>
      </w:r>
      <w:r w:rsidRPr="00BB4E62">
        <w:rPr>
          <w:sz w:val="22"/>
          <w:szCs w:val="22"/>
        </w:rPr>
        <w:t xml:space="preserve"> </w:t>
      </w:r>
      <w:r w:rsidR="003D1E63">
        <w:rPr>
          <w:sz w:val="22"/>
          <w:szCs w:val="22"/>
        </w:rPr>
        <w:t>part</w:t>
      </w:r>
      <w:r>
        <w:rPr>
          <w:sz w:val="22"/>
          <w:szCs w:val="22"/>
        </w:rPr>
        <w:t xml:space="preserve"> </w:t>
      </w:r>
      <w:r w:rsidR="003D1E63">
        <w:rPr>
          <w:sz w:val="22"/>
          <w:szCs w:val="22"/>
        </w:rPr>
        <w:t>time (0</w:t>
      </w:r>
      <w:r w:rsidR="00E7111C">
        <w:rPr>
          <w:sz w:val="22"/>
          <w:szCs w:val="22"/>
        </w:rPr>
        <w:t>.</w:t>
      </w:r>
      <w:r w:rsidR="003D1E63">
        <w:rPr>
          <w:sz w:val="22"/>
          <w:szCs w:val="22"/>
        </w:rPr>
        <w:t>75</w:t>
      </w:r>
      <w:r w:rsidR="00E7111C">
        <w:rPr>
          <w:sz w:val="22"/>
          <w:szCs w:val="22"/>
        </w:rPr>
        <w:t xml:space="preserve"> FTE</w:t>
      </w:r>
      <w:r w:rsidR="0013336D">
        <w:rPr>
          <w:sz w:val="22"/>
          <w:szCs w:val="22"/>
        </w:rPr>
        <w:t xml:space="preserve">) </w:t>
      </w:r>
      <w:r w:rsidR="003D1E63">
        <w:rPr>
          <w:sz w:val="22"/>
          <w:szCs w:val="22"/>
        </w:rPr>
        <w:t>Education Navigator</w:t>
      </w:r>
      <w:r w:rsidR="0013336D">
        <w:rPr>
          <w:sz w:val="22"/>
          <w:szCs w:val="22"/>
        </w:rPr>
        <w:t>,</w:t>
      </w:r>
      <w:r>
        <w:rPr>
          <w:sz w:val="22"/>
          <w:szCs w:val="22"/>
        </w:rPr>
        <w:t xml:space="preserve"> effective January 1, 2020.</w:t>
      </w:r>
    </w:p>
    <w:p w:rsidR="002A3D23" w:rsidRPr="00A671BB" w:rsidRDefault="002A3D23" w:rsidP="002A3D23">
      <w:pPr>
        <w:pStyle w:val="DefaultText"/>
        <w:jc w:val="both"/>
        <w:rPr>
          <w:sz w:val="12"/>
        </w:rPr>
      </w:pPr>
    </w:p>
    <w:p w:rsidR="002A3D23" w:rsidRDefault="002A3D23" w:rsidP="002A3D23">
      <w:pPr>
        <w:pStyle w:val="DefaultText"/>
        <w:jc w:val="both"/>
      </w:pPr>
      <w:r>
        <w:tab/>
      </w:r>
    </w:p>
    <w:p w:rsidR="002A3D23" w:rsidRPr="00A671BB" w:rsidRDefault="002A3D23" w:rsidP="002A3D23">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Pr>
          <w:rStyle w:val="InitialStyle"/>
          <w:rFonts w:ascii="Times New Roman" w:hAnsi="Times New Roman"/>
          <w:szCs w:val="24"/>
        </w:rPr>
        <w:t>October 15, 2019</w:t>
      </w:r>
      <w:r w:rsidRPr="00A671BB">
        <w:rPr>
          <w:rStyle w:val="InitialStyle"/>
          <w:rFonts w:ascii="Times New Roman" w:hAnsi="Times New Roman"/>
          <w:szCs w:val="24"/>
        </w:rPr>
        <w:t>.</w:t>
      </w:r>
    </w:p>
    <w:p w:rsidR="002A3D23" w:rsidRPr="00A671BB" w:rsidRDefault="002A3D23" w:rsidP="002A3D23">
      <w:pPr>
        <w:pStyle w:val="DefaultText"/>
        <w:rPr>
          <w:rStyle w:val="InitialStyle"/>
          <w:rFonts w:ascii="Times New Roman" w:hAnsi="Times New Roman"/>
          <w:szCs w:val="24"/>
        </w:rPr>
      </w:pPr>
    </w:p>
    <w:p w:rsidR="002A3D23" w:rsidRPr="001001B3" w:rsidRDefault="002A3D23" w:rsidP="002A3D23">
      <w:pPr>
        <w:pStyle w:val="DefaultText"/>
        <w:rPr>
          <w:rStyle w:val="InitialStyle"/>
          <w:rFonts w:ascii="Times New Roman" w:hAnsi="Times New Roman"/>
          <w:sz w:val="16"/>
          <w:szCs w:val="16"/>
        </w:rPr>
      </w:pPr>
    </w:p>
    <w:p w:rsidR="002A3D23" w:rsidRDefault="002A3D23" w:rsidP="002A3D23">
      <w:pPr>
        <w:pStyle w:val="DefaultText"/>
        <w:jc w:val="both"/>
        <w:rPr>
          <w:rStyle w:val="InitialStyle"/>
          <w:rFonts w:ascii="Times New Roman" w:hAnsi="Times New Roman"/>
          <w:szCs w:val="24"/>
        </w:rPr>
      </w:pPr>
    </w:p>
    <w:p w:rsidR="00EB3D74" w:rsidRDefault="00EB3D74" w:rsidP="002A3D23">
      <w:pPr>
        <w:pStyle w:val="DefaultText"/>
        <w:jc w:val="both"/>
        <w:rPr>
          <w:rStyle w:val="InitialStyle"/>
          <w:rFonts w:ascii="Times New Roman" w:hAnsi="Times New Roman"/>
          <w:szCs w:val="24"/>
        </w:rPr>
      </w:pPr>
    </w:p>
    <w:p w:rsidR="002A3D23" w:rsidRDefault="002A3D23" w:rsidP="002A3D23">
      <w:pPr>
        <w:pStyle w:val="DefaultText"/>
        <w:jc w:val="both"/>
        <w:rPr>
          <w:rStyle w:val="InitialStyle"/>
          <w:rFonts w:ascii="Times New Roman" w:hAnsi="Times New Roman"/>
          <w:szCs w:val="24"/>
        </w:rPr>
      </w:pPr>
      <w:r w:rsidRPr="00A671BB">
        <w:rPr>
          <w:rStyle w:val="InitialStyle"/>
          <w:rFonts w:ascii="Times New Roman" w:hAnsi="Times New Roman"/>
          <w:szCs w:val="24"/>
        </w:rPr>
        <w:t>Respectfully submitted,</w:t>
      </w:r>
    </w:p>
    <w:p w:rsidR="002A3D23" w:rsidRDefault="002A3D23" w:rsidP="002A3D23">
      <w:pPr>
        <w:pStyle w:val="DefaultText"/>
        <w:jc w:val="both"/>
        <w:rPr>
          <w:rStyle w:val="InitialStyle"/>
          <w:rFonts w:ascii="Times New Roman" w:hAnsi="Times New Roman"/>
          <w:szCs w:val="24"/>
        </w:rPr>
      </w:pPr>
    </w:p>
    <w:p w:rsidR="002A3D23" w:rsidRDefault="002A3D23" w:rsidP="002A3D23">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2A3D23" w:rsidRDefault="002A3D23" w:rsidP="002A3D23">
      <w:pPr>
        <w:pStyle w:val="DefaultText"/>
        <w:jc w:val="both"/>
        <w:rPr>
          <w:rStyle w:val="InitialStyle"/>
          <w:rFonts w:ascii="Times New Roman" w:hAnsi="Times New Roman"/>
          <w:b/>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2A3D23" w:rsidRPr="00DF01DD" w:rsidRDefault="002A3D23" w:rsidP="002A3D23">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2A3D23" w:rsidRPr="00DF01DD" w:rsidRDefault="002A3D23" w:rsidP="002A3D23">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2A3D23" w:rsidRPr="00DF01DD" w:rsidRDefault="002A3D23" w:rsidP="002A3D23">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2A3D23" w:rsidRPr="00DF01DD" w:rsidRDefault="002A3D23" w:rsidP="002A3D23">
      <w:pPr>
        <w:pStyle w:val="DefaultText"/>
        <w:jc w:val="both"/>
        <w:rPr>
          <w:color w:val="auto"/>
          <w:sz w:val="18"/>
          <w:szCs w:val="18"/>
        </w:rPr>
      </w:pPr>
    </w:p>
    <w:p w:rsidR="002A3D23" w:rsidRPr="00DF01DD" w:rsidRDefault="002A3D23" w:rsidP="002A3D23">
      <w:pPr>
        <w:pStyle w:val="DefaultText"/>
        <w:jc w:val="both"/>
        <w:rPr>
          <w:color w:val="auto"/>
          <w:sz w:val="18"/>
          <w:szCs w:val="18"/>
        </w:rPr>
      </w:pPr>
      <w:r w:rsidRPr="00DF01DD">
        <w:rPr>
          <w:color w:val="auto"/>
          <w:sz w:val="18"/>
          <w:szCs w:val="18"/>
        </w:rPr>
        <w:t>________________________________</w:t>
      </w:r>
    </w:p>
    <w:p w:rsidR="002A3D23" w:rsidRPr="003E4A40" w:rsidRDefault="002A3D23" w:rsidP="002A3D23">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A3D23" w:rsidRPr="00A671BB" w:rsidRDefault="002A3D23" w:rsidP="002A3D23">
      <w:pPr>
        <w:pStyle w:val="DefaultText"/>
        <w:jc w:val="both"/>
        <w:rPr>
          <w:b/>
          <w:szCs w:val="24"/>
        </w:rPr>
      </w:pPr>
    </w:p>
    <w:p w:rsidR="002A3D23" w:rsidRDefault="002A3D23" w:rsidP="002A3D23">
      <w:pPr>
        <w:pStyle w:val="DefaultText"/>
        <w:rPr>
          <w:color w:val="auto"/>
        </w:rPr>
      </w:pPr>
    </w:p>
    <w:p w:rsidR="002A3D23" w:rsidRPr="00AA5E39" w:rsidRDefault="002A3D23" w:rsidP="002A3D23">
      <w:pPr>
        <w:pStyle w:val="DefaultText"/>
        <w:rPr>
          <w:b/>
          <w:sz w:val="18"/>
          <w:szCs w:val="18"/>
        </w:rPr>
      </w:pPr>
      <w:r w:rsidRPr="00AA5E39">
        <w:rPr>
          <w:b/>
          <w:sz w:val="18"/>
          <w:szCs w:val="18"/>
        </w:rPr>
        <w:t>FINANCE COMMITTEE</w:t>
      </w:r>
      <w:r>
        <w:rPr>
          <w:b/>
          <w:sz w:val="18"/>
          <w:szCs w:val="18"/>
        </w:rPr>
        <w:tab/>
      </w:r>
      <w:r>
        <w:rPr>
          <w:b/>
          <w:sz w:val="18"/>
          <w:szCs w:val="18"/>
        </w:rPr>
        <w:tab/>
      </w:r>
      <w:r>
        <w:rPr>
          <w:b/>
          <w:sz w:val="18"/>
          <w:szCs w:val="18"/>
        </w:rPr>
        <w:tab/>
      </w:r>
      <w:r>
        <w:rPr>
          <w:b/>
          <w:sz w:val="18"/>
          <w:szCs w:val="18"/>
        </w:rPr>
        <w:tab/>
        <w:t xml:space="preserve"> </w:t>
      </w:r>
      <w:r w:rsidRPr="00AA5E39">
        <w:rPr>
          <w:b/>
          <w:sz w:val="18"/>
          <w:szCs w:val="18"/>
        </w:rPr>
        <w:t>PERSONNEL COMMITTEE</w:t>
      </w:r>
    </w:p>
    <w:p w:rsidR="002A3D23" w:rsidRPr="00AA5E39" w:rsidRDefault="002A3D23" w:rsidP="002A3D23">
      <w:pPr>
        <w:pStyle w:val="DefaultText"/>
        <w:rPr>
          <w:b/>
          <w:sz w:val="18"/>
          <w:szCs w:val="18"/>
        </w:rPr>
      </w:pPr>
      <w:r>
        <w:rPr>
          <w:b/>
          <w:sz w:val="18"/>
          <w:szCs w:val="18"/>
        </w:rPr>
        <w:t xml:space="preserve">                                                      </w:t>
      </w:r>
    </w:p>
    <w:p w:rsidR="002A3D23" w:rsidRPr="00AA5E39" w:rsidRDefault="002A3D23" w:rsidP="002A3D23">
      <w:pPr>
        <w:pStyle w:val="DefaultText"/>
        <w:rPr>
          <w:b/>
          <w:sz w:val="22"/>
          <w:szCs w:val="22"/>
        </w:rPr>
      </w:pPr>
      <w:r>
        <w:rPr>
          <w:b/>
          <w:sz w:val="22"/>
          <w:szCs w:val="22"/>
        </w:rPr>
        <w:t>___________________________</w:t>
      </w:r>
      <w:r>
        <w:rPr>
          <w:b/>
          <w:sz w:val="22"/>
          <w:szCs w:val="22"/>
        </w:rPr>
        <w:tab/>
      </w:r>
      <w:r>
        <w:rPr>
          <w:b/>
          <w:sz w:val="22"/>
          <w:szCs w:val="22"/>
        </w:rPr>
        <w:tab/>
        <w:t>___________________________</w:t>
      </w:r>
    </w:p>
    <w:p w:rsidR="002A3D23" w:rsidRPr="00DF01DD" w:rsidRDefault="002A3D23" w:rsidP="002A3D23">
      <w:pPr>
        <w:pStyle w:val="DefaultText"/>
        <w:rPr>
          <w:color w:val="auto"/>
          <w:sz w:val="18"/>
          <w:szCs w:val="18"/>
        </w:rPr>
      </w:pPr>
      <w:r w:rsidRPr="00DF01DD">
        <w:rPr>
          <w:caps/>
          <w:color w:val="auto"/>
          <w:sz w:val="18"/>
          <w:szCs w:val="18"/>
        </w:rPr>
        <w:t>JOHN DIETZ</w:t>
      </w:r>
      <w:r w:rsidRPr="00DF01DD">
        <w:rPr>
          <w:color w:val="auto"/>
          <w:sz w:val="18"/>
          <w:szCs w:val="18"/>
        </w:rPr>
        <w:t>,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TOMMY LEE BYCHINSKI, Chair</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THOMAS KRIEGL</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SHANE GISON</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aps/>
          <w:color w:val="auto"/>
          <w:sz w:val="18"/>
          <w:szCs w:val="18"/>
        </w:rPr>
        <w:t>JOHN “TONY” DE GIOVANNI</w:t>
      </w:r>
      <w:r w:rsidRPr="00DF01DD">
        <w:rPr>
          <w:color w:val="auto"/>
          <w:sz w:val="18"/>
          <w:szCs w:val="18"/>
        </w:rPr>
        <w:tab/>
      </w:r>
      <w:r w:rsidRPr="00DF01DD">
        <w:rPr>
          <w:color w:val="auto"/>
          <w:sz w:val="18"/>
          <w:szCs w:val="18"/>
        </w:rPr>
        <w:tab/>
      </w:r>
      <w:r w:rsidRPr="00DF01DD">
        <w:rPr>
          <w:color w:val="auto"/>
          <w:sz w:val="18"/>
          <w:szCs w:val="18"/>
        </w:rPr>
        <w:tab/>
        <w:t>PATRICIA REGO</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KEVIN LINS</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CARL GRUBER</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KRISTIN WHITE EAGLE                                                    TIMOTHY MCCUMBER</w:t>
      </w:r>
    </w:p>
    <w:p w:rsidR="002A3D23" w:rsidRPr="00AA5E39" w:rsidRDefault="002A3D23" w:rsidP="002A3D23">
      <w:pPr>
        <w:pStyle w:val="DefaultText"/>
        <w:rPr>
          <w:sz w:val="18"/>
          <w:szCs w:val="18"/>
        </w:rPr>
      </w:pPr>
    </w:p>
    <w:p w:rsidR="002A3D23" w:rsidRPr="00AA5E39" w:rsidRDefault="002A3D23" w:rsidP="002A3D23">
      <w:pPr>
        <w:pStyle w:val="DefaultText"/>
        <w:rPr>
          <w:sz w:val="18"/>
          <w:szCs w:val="18"/>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BE4C22" w:rsidRDefault="00BE4C22"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auto"/>
          <w:sz w:val="22"/>
          <w:szCs w:val="22"/>
        </w:rPr>
      </w:pPr>
    </w:p>
    <w:p w:rsidR="002A3D23"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r w:rsidRPr="00F72A74">
        <w:rPr>
          <w:b/>
          <w:color w:val="auto"/>
          <w:sz w:val="22"/>
          <w:szCs w:val="22"/>
        </w:rPr>
        <w:t>Fiscal Note:</w:t>
      </w:r>
      <w:r w:rsidRPr="00C37416">
        <w:rPr>
          <w:color w:val="FF0000"/>
          <w:sz w:val="22"/>
          <w:szCs w:val="22"/>
        </w:rPr>
        <w:t xml:space="preserve">  </w:t>
      </w:r>
    </w:p>
    <w:p w:rsidR="002A3D23" w:rsidRPr="00BF3C59" w:rsidRDefault="002A3D23" w:rsidP="002A3D23">
      <w:pPr>
        <w:pStyle w:val="DefaultText"/>
        <w:spacing w:after="120"/>
        <w:jc w:val="both"/>
        <w:rPr>
          <w:color w:val="auto"/>
        </w:rPr>
      </w:pPr>
      <w:r>
        <w:rPr>
          <w:color w:val="auto"/>
        </w:rPr>
        <w:t>The 2020</w:t>
      </w:r>
      <w:r w:rsidRPr="00BF3C59">
        <w:rPr>
          <w:color w:val="auto"/>
        </w:rPr>
        <w:t xml:space="preserve"> budget contains adequate funding for the </w:t>
      </w:r>
      <w:r w:rsidR="003D1E63">
        <w:rPr>
          <w:color w:val="auto"/>
          <w:szCs w:val="24"/>
        </w:rPr>
        <w:t>Education Navigator</w:t>
      </w:r>
      <w:r w:rsidRPr="00BF3C59">
        <w:rPr>
          <w:color w:val="auto"/>
          <w:sz w:val="22"/>
          <w:szCs w:val="22"/>
        </w:rPr>
        <w:t xml:space="preserve"> </w:t>
      </w:r>
      <w:r w:rsidRPr="00BF3C59">
        <w:rPr>
          <w:color w:val="auto"/>
        </w:rPr>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gridCol w:w="2101"/>
      </w:tblGrid>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DefaultText"/>
              <w:rPr>
                <w:color w:val="auto"/>
              </w:rPr>
            </w:pPr>
          </w:p>
        </w:tc>
        <w:tc>
          <w:tcPr>
            <w:tcW w:w="2093"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TableText"/>
              <w:jc w:val="center"/>
              <w:rPr>
                <w:color w:val="auto"/>
              </w:rPr>
            </w:pPr>
            <w:r>
              <w:rPr>
                <w:rFonts w:ascii="Arial Narrow" w:hAnsi="Arial Narrow"/>
                <w:b/>
                <w:color w:val="auto"/>
              </w:rPr>
              <w:t>FY 2020</w:t>
            </w:r>
            <w:r w:rsidRPr="00BF3C59">
              <w:rPr>
                <w:rFonts w:ascii="Arial Narrow" w:hAnsi="Arial Narrow"/>
                <w:b/>
                <w:color w:val="auto"/>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2A3D23" w:rsidRPr="00BF3C59" w:rsidRDefault="002A3D23" w:rsidP="00B87062">
            <w:pPr>
              <w:pStyle w:val="TableText"/>
              <w:jc w:val="center"/>
              <w:rPr>
                <w:color w:val="auto"/>
              </w:rPr>
            </w:pPr>
            <w:r>
              <w:rPr>
                <w:rFonts w:ascii="Arial Narrow" w:hAnsi="Arial Narrow"/>
                <w:b/>
                <w:color w:val="auto"/>
              </w:rPr>
              <w:t>FY 2021</w:t>
            </w:r>
            <w:r w:rsidRPr="00BF3C59">
              <w:rPr>
                <w:rFonts w:ascii="Arial Narrow" w:hAnsi="Arial Narrow"/>
                <w:b/>
                <w:color w:val="auto"/>
              </w:rPr>
              <w:t xml:space="preserve"> </w:t>
            </w:r>
            <w:r w:rsidRPr="00BF3C59">
              <w:rPr>
                <w:rFonts w:ascii="Arial Narrow" w:hAnsi="Arial Narrow"/>
                <w:b/>
                <w:i/>
                <w:color w:val="auto"/>
              </w:rPr>
              <w:t>(est.)</w:t>
            </w:r>
          </w:p>
        </w:tc>
      </w:tr>
      <w:tr w:rsidR="004E31A5"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rFonts w:ascii="Arial Narrow" w:hAnsi="Arial Narrow"/>
                <w:color w:val="auto"/>
                <w:sz w:val="22"/>
              </w:rPr>
              <w:t>Salary for FY 2020</w:t>
            </w:r>
          </w:p>
        </w:tc>
        <w:tc>
          <w:tcPr>
            <w:tcW w:w="2093" w:type="dxa"/>
            <w:tcBorders>
              <w:top w:val="single" w:sz="4" w:space="0" w:color="000000"/>
              <w:left w:val="single" w:sz="4" w:space="0" w:color="000000"/>
              <w:bottom w:val="single" w:sz="4" w:space="0" w:color="000000"/>
              <w:right w:val="single" w:sz="4" w:space="0" w:color="000000"/>
            </w:tcBorders>
          </w:tcPr>
          <w:p w:rsidR="004E31A5" w:rsidRPr="004E31A5" w:rsidRDefault="004E31A5" w:rsidP="003D1E63">
            <w:pPr>
              <w:pStyle w:val="TableText"/>
              <w:jc w:val="left"/>
              <w:rPr>
                <w:color w:val="auto"/>
              </w:rPr>
            </w:pPr>
            <w:r w:rsidRPr="004E31A5">
              <w:rPr>
                <w:color w:val="auto"/>
              </w:rPr>
              <w:t>$</w:t>
            </w:r>
            <w:r w:rsidR="003D1E63">
              <w:rPr>
                <w:color w:val="auto"/>
              </w:rPr>
              <w:t>33,123</w:t>
            </w:r>
          </w:p>
        </w:tc>
        <w:tc>
          <w:tcPr>
            <w:tcW w:w="2101" w:type="dxa"/>
            <w:tcBorders>
              <w:top w:val="single" w:sz="4" w:space="0" w:color="000000"/>
              <w:left w:val="single" w:sz="4" w:space="0" w:color="000000"/>
              <w:bottom w:val="single" w:sz="4" w:space="0" w:color="000000"/>
              <w:right w:val="single" w:sz="4" w:space="0" w:color="000000"/>
            </w:tcBorders>
          </w:tcPr>
          <w:p w:rsidR="004E31A5" w:rsidRPr="004E31A5" w:rsidRDefault="004E31A5" w:rsidP="003D1E63">
            <w:pPr>
              <w:pStyle w:val="TableText"/>
              <w:jc w:val="left"/>
              <w:rPr>
                <w:color w:val="auto"/>
              </w:rPr>
            </w:pPr>
            <w:r w:rsidRPr="004E31A5">
              <w:rPr>
                <w:color w:val="auto"/>
              </w:rPr>
              <w:t>$</w:t>
            </w:r>
            <w:r w:rsidR="003D1E63">
              <w:rPr>
                <w:color w:val="auto"/>
              </w:rPr>
              <w:t>33,123</w:t>
            </w:r>
          </w:p>
        </w:tc>
      </w:tr>
      <w:tr w:rsidR="004E31A5"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4E31A5" w:rsidRPr="004E31A5" w:rsidRDefault="004E31A5" w:rsidP="004E31A5">
            <w:pPr>
              <w:pStyle w:val="TableText"/>
              <w:jc w:val="left"/>
              <w:rPr>
                <w:color w:val="auto"/>
              </w:rPr>
            </w:pPr>
            <w:r w:rsidRPr="004E31A5">
              <w:rPr>
                <w:rFonts w:ascii="Arial Narrow" w:hAnsi="Arial Narrow"/>
                <w:color w:val="auto"/>
                <w:sz w:val="22"/>
              </w:rPr>
              <w:t>Benefits for FY 2020</w:t>
            </w:r>
          </w:p>
        </w:tc>
        <w:tc>
          <w:tcPr>
            <w:tcW w:w="2093" w:type="dxa"/>
            <w:tcBorders>
              <w:top w:val="single" w:sz="4" w:space="0" w:color="000000"/>
              <w:left w:val="single" w:sz="4" w:space="0" w:color="000000"/>
              <w:bottom w:val="single" w:sz="4" w:space="0" w:color="000000"/>
              <w:right w:val="single" w:sz="4" w:space="0" w:color="000000"/>
            </w:tcBorders>
          </w:tcPr>
          <w:p w:rsidR="004E31A5" w:rsidRPr="004E31A5" w:rsidRDefault="003D1E63" w:rsidP="004E31A5">
            <w:pPr>
              <w:pStyle w:val="DefaultText"/>
              <w:rPr>
                <w:color w:val="auto"/>
              </w:rPr>
            </w:pPr>
            <w:r>
              <w:rPr>
                <w:color w:val="auto"/>
              </w:rPr>
              <w:t>$23,211</w:t>
            </w:r>
          </w:p>
        </w:tc>
        <w:tc>
          <w:tcPr>
            <w:tcW w:w="2101" w:type="dxa"/>
            <w:tcBorders>
              <w:top w:val="single" w:sz="4" w:space="0" w:color="000000"/>
              <w:left w:val="single" w:sz="4" w:space="0" w:color="000000"/>
              <w:bottom w:val="single" w:sz="4" w:space="0" w:color="000000"/>
              <w:right w:val="single" w:sz="4" w:space="0" w:color="000000"/>
            </w:tcBorders>
          </w:tcPr>
          <w:p w:rsidR="004E31A5" w:rsidRPr="004E31A5" w:rsidRDefault="003D1E63" w:rsidP="004E31A5">
            <w:pPr>
              <w:pStyle w:val="DefaultText"/>
              <w:rPr>
                <w:color w:val="auto"/>
              </w:rPr>
            </w:pPr>
            <w:r>
              <w:rPr>
                <w:color w:val="auto"/>
              </w:rPr>
              <w:t>$23,211</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 xml:space="preserve">Other MIS Costs </w:t>
            </w:r>
            <w:r w:rsidRPr="004E31A5">
              <w:rPr>
                <w:rFonts w:ascii="Arial Narrow" w:hAnsi="Arial Narrow"/>
                <w:i/>
                <w:color w:val="auto"/>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7F2A72" w:rsidP="00B87062">
            <w:pPr>
              <w:rPr>
                <w:sz w:val="24"/>
                <w:szCs w:val="24"/>
              </w:rPr>
            </w:pPr>
            <w:r w:rsidRPr="004E31A5">
              <w:rPr>
                <w:sz w:val="24"/>
                <w:szCs w:val="24"/>
              </w:rPr>
              <w:t>$3,000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Existing</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rPr>
                <w:sz w:val="24"/>
                <w:szCs w:val="24"/>
              </w:rPr>
            </w:pPr>
            <w:r w:rsidRPr="004E31A5">
              <w:rPr>
                <w:sz w:val="24"/>
                <w:szCs w:val="24"/>
              </w:rPr>
              <w:t>$0</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color w:val="auto"/>
              </w:rPr>
            </w:pPr>
            <w:r w:rsidRPr="004E31A5">
              <w:rPr>
                <w:rFonts w:ascii="Arial Narrow" w:hAnsi="Arial Narrow"/>
                <w:color w:val="auto"/>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color w:val="auto"/>
              </w:rPr>
            </w:pPr>
            <w:r w:rsidRPr="004E31A5">
              <w:rPr>
                <w:color w:val="auto"/>
              </w:rPr>
              <w:t>$0</w:t>
            </w: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TableText"/>
              <w:jc w:val="left"/>
              <w:rPr>
                <w:rFonts w:ascii="Arial Narrow" w:hAnsi="Arial Narrow"/>
                <w:b/>
                <w:i/>
                <w:color w:val="auto"/>
                <w:sz w:val="22"/>
              </w:rPr>
            </w:pPr>
            <w:r w:rsidRPr="004E31A5">
              <w:rPr>
                <w:rFonts w:ascii="Arial Narrow" w:hAnsi="Arial Narrow"/>
                <w:i/>
                <w:color w:val="auto"/>
                <w:sz w:val="22"/>
              </w:rPr>
              <w:t xml:space="preserve">Revenues </w:t>
            </w:r>
            <w:r w:rsidRPr="004E31A5">
              <w:rPr>
                <w:rFonts w:ascii="Arial Narrow" w:hAnsi="Arial Narrow"/>
                <w:b/>
                <w:i/>
                <w:color w:val="auto"/>
                <w:sz w:val="22"/>
              </w:rPr>
              <w:t>(Use Negative #)</w:t>
            </w:r>
          </w:p>
          <w:p w:rsidR="002A3D23" w:rsidRPr="004E31A5" w:rsidRDefault="002A3D23" w:rsidP="00B87062">
            <w:pPr>
              <w:pStyle w:val="TableText"/>
              <w:jc w:val="left"/>
              <w:rPr>
                <w:rFonts w:ascii="Arial Narrow" w:hAnsi="Arial Narrow"/>
                <w:b/>
                <w:color w:val="auto"/>
                <w:sz w:val="22"/>
              </w:rPr>
            </w:pP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r>
      <w:tr w:rsidR="002A3D23"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r w:rsidRPr="004E31A5">
              <w:rPr>
                <w:rFonts w:ascii="Arial Narrow" w:hAnsi="Arial Narrow"/>
                <w:color w:val="auto"/>
              </w:rPr>
              <w:t>Tax Levy</w:t>
            </w:r>
          </w:p>
        </w:tc>
        <w:tc>
          <w:tcPr>
            <w:tcW w:w="2093"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c>
          <w:tcPr>
            <w:tcW w:w="2101" w:type="dxa"/>
            <w:tcBorders>
              <w:top w:val="single" w:sz="4" w:space="0" w:color="000000"/>
              <w:left w:val="single" w:sz="4" w:space="0" w:color="000000"/>
              <w:bottom w:val="single" w:sz="4" w:space="0" w:color="000000"/>
              <w:right w:val="single" w:sz="4" w:space="0" w:color="000000"/>
            </w:tcBorders>
          </w:tcPr>
          <w:p w:rsidR="002A3D23" w:rsidRPr="004E31A5" w:rsidRDefault="002A3D23" w:rsidP="00B87062">
            <w:pPr>
              <w:pStyle w:val="DefaultText"/>
              <w:rPr>
                <w:rFonts w:ascii="Arial Narrow" w:hAnsi="Arial Narrow"/>
                <w:color w:val="auto"/>
              </w:rPr>
            </w:pPr>
          </w:p>
        </w:tc>
      </w:tr>
      <w:tr w:rsidR="00110B64"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110B64" w:rsidRPr="004E31A5" w:rsidRDefault="003D1E63" w:rsidP="00110B64">
            <w:pPr>
              <w:pStyle w:val="DefaultText"/>
              <w:rPr>
                <w:rFonts w:ascii="Arial Narrow" w:hAnsi="Arial Narrow"/>
                <w:color w:val="auto"/>
              </w:rPr>
            </w:pPr>
            <w:r>
              <w:rPr>
                <w:rFonts w:ascii="Arial Narrow" w:hAnsi="Arial Narrow"/>
                <w:b/>
                <w:color w:val="auto"/>
                <w:sz w:val="22"/>
              </w:rPr>
              <w:t>SSM Health</w:t>
            </w:r>
            <w:r w:rsidR="004E31A5" w:rsidRPr="004E31A5">
              <w:rPr>
                <w:rFonts w:ascii="Arial Narrow" w:hAnsi="Arial Narrow"/>
                <w:b/>
                <w:color w:val="auto"/>
                <w:sz w:val="22"/>
              </w:rPr>
              <w:t xml:space="preserve"> Funds</w:t>
            </w:r>
          </w:p>
        </w:tc>
        <w:tc>
          <w:tcPr>
            <w:tcW w:w="2093" w:type="dxa"/>
            <w:tcBorders>
              <w:top w:val="single" w:sz="4" w:space="0" w:color="000000"/>
              <w:left w:val="single" w:sz="4" w:space="0" w:color="000000"/>
              <w:bottom w:val="single" w:sz="4" w:space="0" w:color="000000"/>
              <w:right w:val="single" w:sz="4" w:space="0" w:color="000000"/>
            </w:tcBorders>
          </w:tcPr>
          <w:p w:rsidR="00110B64" w:rsidRPr="004E31A5" w:rsidRDefault="003D1E63" w:rsidP="003D1E63">
            <w:pPr>
              <w:pStyle w:val="DefaultText"/>
              <w:rPr>
                <w:rFonts w:ascii="Arial Narrow" w:hAnsi="Arial Narrow"/>
                <w:color w:val="auto"/>
              </w:rPr>
            </w:pPr>
            <w:r>
              <w:rPr>
                <w:rFonts w:ascii="Arial Narrow" w:hAnsi="Arial Narrow"/>
                <w:color w:val="auto"/>
              </w:rPr>
              <w:t>($ 59</w:t>
            </w:r>
            <w:r w:rsidR="004E31A5" w:rsidRPr="004E31A5">
              <w:rPr>
                <w:rFonts w:ascii="Arial Narrow" w:hAnsi="Arial Narrow"/>
                <w:color w:val="auto"/>
              </w:rPr>
              <w:t>,</w:t>
            </w:r>
            <w:r>
              <w:rPr>
                <w:rFonts w:ascii="Arial Narrow" w:hAnsi="Arial Narrow"/>
                <w:color w:val="auto"/>
              </w:rPr>
              <w:t>334</w:t>
            </w:r>
            <w:r w:rsidR="00110B64" w:rsidRPr="004E31A5">
              <w:rPr>
                <w:rFonts w:ascii="Arial Narrow" w:hAnsi="Arial Narrow"/>
                <w:color w:val="auto"/>
              </w:rPr>
              <w:t>)</w:t>
            </w:r>
          </w:p>
        </w:tc>
        <w:tc>
          <w:tcPr>
            <w:tcW w:w="2101" w:type="dxa"/>
            <w:tcBorders>
              <w:top w:val="single" w:sz="4" w:space="0" w:color="000000"/>
              <w:left w:val="single" w:sz="4" w:space="0" w:color="000000"/>
              <w:bottom w:val="single" w:sz="4" w:space="0" w:color="000000"/>
              <w:right w:val="single" w:sz="4" w:space="0" w:color="000000"/>
            </w:tcBorders>
          </w:tcPr>
          <w:p w:rsidR="00110B64" w:rsidRPr="004E31A5" w:rsidRDefault="004E31A5" w:rsidP="003D1E63">
            <w:pPr>
              <w:pStyle w:val="DefaultText"/>
              <w:rPr>
                <w:rFonts w:ascii="Arial Narrow" w:hAnsi="Arial Narrow"/>
                <w:color w:val="auto"/>
              </w:rPr>
            </w:pPr>
            <w:r w:rsidRPr="004E31A5">
              <w:rPr>
                <w:rFonts w:ascii="Arial Narrow" w:hAnsi="Arial Narrow"/>
                <w:color w:val="auto"/>
              </w:rPr>
              <w:t xml:space="preserve">($ </w:t>
            </w:r>
            <w:r w:rsidR="003D1E63">
              <w:rPr>
                <w:rFonts w:ascii="Arial Narrow" w:hAnsi="Arial Narrow"/>
                <w:color w:val="auto"/>
              </w:rPr>
              <w:t>56,334</w:t>
            </w:r>
            <w:r w:rsidR="00110B64" w:rsidRPr="004E31A5">
              <w:rPr>
                <w:rFonts w:ascii="Arial Narrow" w:hAnsi="Arial Narrow"/>
                <w:color w:val="auto"/>
              </w:rPr>
              <w:t>)</w:t>
            </w:r>
          </w:p>
        </w:tc>
      </w:tr>
      <w:tr w:rsidR="00110B64"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TableText"/>
              <w:rPr>
                <w:rFonts w:ascii="Arial Narrow" w:hAnsi="Arial Narrow"/>
                <w:b/>
                <w:color w:val="auto"/>
              </w:rPr>
            </w:pPr>
            <w:r w:rsidRPr="00BF3C59">
              <w:rPr>
                <w:rFonts w:ascii="Arial Narrow" w:hAnsi="Arial Narrow"/>
                <w:b/>
                <w:color w:val="auto"/>
              </w:rPr>
              <w:t>TOTAL</w:t>
            </w:r>
          </w:p>
        </w:tc>
        <w:tc>
          <w:tcPr>
            <w:tcW w:w="2093"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DefaultText"/>
              <w:rPr>
                <w:rFonts w:ascii="Arial Narrow" w:hAnsi="Arial Narrow"/>
                <w:color w:val="auto"/>
              </w:rPr>
            </w:pPr>
            <w:r w:rsidRPr="00BF3C59">
              <w:rPr>
                <w:rFonts w:ascii="Arial Narrow" w:hAnsi="Arial Narrow"/>
                <w:b/>
                <w:color w:val="auto"/>
              </w:rPr>
              <w:t>$ 0</w:t>
            </w:r>
          </w:p>
        </w:tc>
        <w:tc>
          <w:tcPr>
            <w:tcW w:w="2101" w:type="dxa"/>
            <w:tcBorders>
              <w:top w:val="single" w:sz="4" w:space="0" w:color="000000"/>
              <w:left w:val="single" w:sz="4" w:space="0" w:color="000000"/>
              <w:bottom w:val="single" w:sz="4" w:space="0" w:color="000000"/>
              <w:right w:val="single" w:sz="4" w:space="0" w:color="000000"/>
            </w:tcBorders>
          </w:tcPr>
          <w:p w:rsidR="00110B64" w:rsidRPr="00BF3C59" w:rsidRDefault="00110B64" w:rsidP="00110B64">
            <w:pPr>
              <w:pStyle w:val="DefaultText"/>
              <w:rPr>
                <w:rFonts w:ascii="Arial Narrow" w:hAnsi="Arial Narrow"/>
                <w:color w:val="auto"/>
              </w:rPr>
            </w:pPr>
            <w:r w:rsidRPr="00BF3C59">
              <w:rPr>
                <w:rFonts w:ascii="Arial Narrow" w:hAnsi="Arial Narrow"/>
                <w:b/>
                <w:color w:val="auto"/>
              </w:rPr>
              <w:t>$ 0</w:t>
            </w:r>
          </w:p>
        </w:tc>
      </w:tr>
    </w:tbl>
    <w:p w:rsidR="002A3D23" w:rsidRPr="00C37416"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p>
    <w:p w:rsidR="002A3D23" w:rsidRPr="00166E27"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p>
    <w:p w:rsidR="00BE43CD" w:rsidRPr="007F2A72" w:rsidRDefault="00BE43CD" w:rsidP="0023321F">
      <w:pPr>
        <w:rPr>
          <w:color w:val="FF0000"/>
        </w:rPr>
      </w:pPr>
    </w:p>
    <w:p w:rsidR="0023321F" w:rsidRPr="00084CB2" w:rsidRDefault="001F7890" w:rsidP="0023321F">
      <w:r w:rsidRPr="00084CB2">
        <w:rPr>
          <w:b/>
        </w:rPr>
        <w:t>Information System Note:</w:t>
      </w:r>
      <w:r w:rsidRPr="00084CB2">
        <w:t xml:space="preserve">  </w:t>
      </w:r>
      <w:r w:rsidR="00E7111C" w:rsidRPr="00084CB2">
        <w:t>Noted in 2020 MIS Budget</w:t>
      </w:r>
      <w:r w:rsidR="0023321F" w:rsidRPr="00084CB2">
        <w:t xml:space="preserve">. </w:t>
      </w:r>
    </w:p>
    <w:sectPr w:rsidR="0023321F" w:rsidRPr="00084CB2"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CB2"/>
    <w:rsid w:val="00084DF0"/>
    <w:rsid w:val="000B352B"/>
    <w:rsid w:val="000B59DF"/>
    <w:rsid w:val="000B79FF"/>
    <w:rsid w:val="000C37E2"/>
    <w:rsid w:val="000C6D18"/>
    <w:rsid w:val="000D6495"/>
    <w:rsid w:val="000F1169"/>
    <w:rsid w:val="000F647B"/>
    <w:rsid w:val="001001B3"/>
    <w:rsid w:val="001034FE"/>
    <w:rsid w:val="00110216"/>
    <w:rsid w:val="00110B64"/>
    <w:rsid w:val="001228B6"/>
    <w:rsid w:val="001319F5"/>
    <w:rsid w:val="0013336D"/>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A3D23"/>
    <w:rsid w:val="002A5280"/>
    <w:rsid w:val="002C060F"/>
    <w:rsid w:val="00301CB0"/>
    <w:rsid w:val="00311D1A"/>
    <w:rsid w:val="00355EFD"/>
    <w:rsid w:val="00367538"/>
    <w:rsid w:val="00373B31"/>
    <w:rsid w:val="00387FF5"/>
    <w:rsid w:val="003955DA"/>
    <w:rsid w:val="003B0339"/>
    <w:rsid w:val="003B33EC"/>
    <w:rsid w:val="003D1E63"/>
    <w:rsid w:val="003D4E12"/>
    <w:rsid w:val="003D77F5"/>
    <w:rsid w:val="004043D1"/>
    <w:rsid w:val="00405A95"/>
    <w:rsid w:val="0041595A"/>
    <w:rsid w:val="00423630"/>
    <w:rsid w:val="004265F8"/>
    <w:rsid w:val="00431245"/>
    <w:rsid w:val="00432339"/>
    <w:rsid w:val="004344A8"/>
    <w:rsid w:val="004447C0"/>
    <w:rsid w:val="00446B11"/>
    <w:rsid w:val="00447545"/>
    <w:rsid w:val="00475279"/>
    <w:rsid w:val="00493356"/>
    <w:rsid w:val="004B48CA"/>
    <w:rsid w:val="004E1653"/>
    <w:rsid w:val="004E31A5"/>
    <w:rsid w:val="004E64DD"/>
    <w:rsid w:val="004F725D"/>
    <w:rsid w:val="005006B3"/>
    <w:rsid w:val="0050385F"/>
    <w:rsid w:val="00521687"/>
    <w:rsid w:val="00523250"/>
    <w:rsid w:val="00531E7A"/>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460DF"/>
    <w:rsid w:val="00747818"/>
    <w:rsid w:val="00762ADA"/>
    <w:rsid w:val="0076365E"/>
    <w:rsid w:val="00766EF1"/>
    <w:rsid w:val="00790AD3"/>
    <w:rsid w:val="007910D2"/>
    <w:rsid w:val="00796FBB"/>
    <w:rsid w:val="0079739E"/>
    <w:rsid w:val="007B15DC"/>
    <w:rsid w:val="007C39A5"/>
    <w:rsid w:val="007C47AD"/>
    <w:rsid w:val="007C4FFA"/>
    <w:rsid w:val="007C5181"/>
    <w:rsid w:val="007C5B19"/>
    <w:rsid w:val="007D005D"/>
    <w:rsid w:val="007E5B1E"/>
    <w:rsid w:val="007F2A72"/>
    <w:rsid w:val="00822FB8"/>
    <w:rsid w:val="008269D5"/>
    <w:rsid w:val="00862F04"/>
    <w:rsid w:val="00867969"/>
    <w:rsid w:val="00867B2B"/>
    <w:rsid w:val="00876B91"/>
    <w:rsid w:val="008C4EF5"/>
    <w:rsid w:val="008C7889"/>
    <w:rsid w:val="008D00C1"/>
    <w:rsid w:val="008E3A7D"/>
    <w:rsid w:val="008F402D"/>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BE4C22"/>
    <w:rsid w:val="00BE685C"/>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D1952"/>
    <w:rsid w:val="00DD635D"/>
    <w:rsid w:val="00DE144E"/>
    <w:rsid w:val="00DF060A"/>
    <w:rsid w:val="00E05362"/>
    <w:rsid w:val="00E0562C"/>
    <w:rsid w:val="00E27A69"/>
    <w:rsid w:val="00E353A7"/>
    <w:rsid w:val="00E537A1"/>
    <w:rsid w:val="00E55C6D"/>
    <w:rsid w:val="00E7111C"/>
    <w:rsid w:val="00E76BCD"/>
    <w:rsid w:val="00E829F4"/>
    <w:rsid w:val="00EA31D8"/>
    <w:rsid w:val="00EB3D74"/>
    <w:rsid w:val="00ED2684"/>
    <w:rsid w:val="00F1491A"/>
    <w:rsid w:val="00F14F86"/>
    <w:rsid w:val="00F3406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DE91"/>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222</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6</cp:revision>
  <cp:lastPrinted>2019-01-10T18:28:00Z</cp:lastPrinted>
  <dcterms:created xsi:type="dcterms:W3CDTF">2019-09-30T16:19:00Z</dcterms:created>
  <dcterms:modified xsi:type="dcterms:W3CDTF">2019-09-30T20:12:00Z</dcterms:modified>
</cp:coreProperties>
</file>