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6A6655">
        <w:rPr>
          <w:b/>
          <w:sz w:val="28"/>
        </w:rPr>
        <w:t>2019</w:t>
      </w:r>
    </w:p>
    <w:p w:rsidR="00A671BB" w:rsidRDefault="00A671BB">
      <w:pPr>
        <w:pStyle w:val="DefaultText"/>
        <w:jc w:val="center"/>
        <w:rPr>
          <w:b/>
        </w:rPr>
      </w:pPr>
    </w:p>
    <w:p w:rsidR="009054F0" w:rsidRPr="00D9467F" w:rsidRDefault="00037FE6" w:rsidP="00CB56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center"/>
        <w:rPr>
          <w:rStyle w:val="InitialStyle"/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3159760</wp:posOffset>
                </wp:positionV>
                <wp:extent cx="5913120" cy="50736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394B25">
                              <w:rPr>
                                <w:b/>
                              </w:rPr>
                              <w:t xml:space="preserve">   [</w:t>
                            </w:r>
                            <w:r w:rsidR="00530FBF">
                              <w:rPr>
                                <w:b/>
                              </w:rPr>
                              <w:t>X</w:t>
                            </w:r>
                            <w:r w:rsidR="00394B25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0765C0">
                              <w:rPr>
                                <w:b/>
                              </w:rPr>
                              <w:t xml:space="preserve"> 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6pt;margin-top:248.8pt;width:465.6pt;height:39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88KQIAAFAEAAAOAAAAZHJzL2Uyb0RvYy54bWysVNtu2zAMfR+wfxD0vvjSpG2MOEWXLsOA&#10;7gK0+wBZlm1hsqhJSuzu60fJbpbdXob5QZBE6vDwkPTmZuwVOQrrJOiSZouUEqE51FK3Jf38uH91&#10;TYnzTNdMgRYlfRKO3mxfvtgMphA5dKBqYQmCaFcMpqSd96ZIEsc70TO3ACM0GhuwPfN4tG1SWzYg&#10;eq+SPE0vkwFsbSxw4Rze3k1Guo34TSO4/9g0TniiSorcfFxtXKuwJtsNK1rLTCf5TIP9A4ueSY1B&#10;T1B3zDNysPI3qF5yCw4av+DQJ9A0kouYA2aTpb9k89AxI2IuKI4zJ5nc/4PlH46fLJF1SXNKNOux&#10;RI9i9OQ1jCQP6gzGFej0YNDNj3iNVY6ZOnMP/IsjGnYd0624tRaGTrAa2WXhZXL2dMJxAaQa3kON&#10;YdjBQwQaG9sH6VAMguhYpadTZQIVjperdXaR5WjiaFulVxeXqxiCFc+vjXX+rYCehE1JLVY+orPj&#10;vfOBDSueXUIwB0rWe6lUPNi22ilLjgy7ZB+/Gf0nN6XJUNL1Kl9NAvwVIo3fnyB66bHdlexLen1y&#10;YkWQ7Y2uYzN6JtW0R8pKzzoG6SYR/ViNc10qqJ9QUQtTW+MY4qYD+42SAVu6pO7rgVlBiXqnsSrr&#10;bLkMMxAPy9VV0NOeW6pzC9McoUrqKZm2Oz/NzcFY2XYYaeoDDbdYyUZGkUPJJ1Yzb2zbqP08YmEu&#10;zs/R68ePYPsdAAD//wMAUEsDBBQABgAIAAAAIQDSEnvh4QAAAAoBAAAPAAAAZHJzL2Rvd25yZXYu&#10;eG1sTI/LTsMwEEX3SPyDNUhsUOsQ0rgJmVQICUR3UBBs3WSaRPgRbDcNf49ZwXI0R/eeW21mrdhE&#10;zg/WIFwvE2BkGtsOpkN4e31YrIH5IE0rlTWE8E0eNvX5WSXL1p7MC0270LEYYnwpEfoQxpJz3/Sk&#10;pV/akUz8HazTMsTTdbx18hTDteJpkuRcy8HEhl6OdN9T87k7aoR19jR9+O3N83uTH1QRrsT0+OUQ&#10;Ly/mu1tggebwB8OvflSHOjrt7dG0nimEhUgjiZAVIgcWgSLN4rg9wkqIFfC64v8n1D8AAAD//wMA&#10;UEsBAi0AFAAGAAgAAAAhALaDOJL+AAAA4QEAABMAAAAAAAAAAAAAAAAAAAAAAFtDb250ZW50X1R5&#10;cGVzXS54bWxQSwECLQAUAAYACAAAACEAOP0h/9YAAACUAQAACwAAAAAAAAAAAAAAAAAvAQAAX3Jl&#10;bHMvLnJlbHNQSwECLQAUAAYACAAAACEAQo7/PCkCAABQBAAADgAAAAAAAAAAAAAAAAAuAgAAZHJz&#10;L2Uyb0RvYy54bWxQSwECLQAUAAYACAAAACEA0hJ74eEAAAAKAQAADwAAAAAAAAAAAAAAAACDBAAA&#10;ZHJzL2Rvd25yZXYueG1sUEsFBgAAAAAEAAQA8wAAAJEFAAAAAA==&#10;">
                <v:textbox>
                  <w:txbxContent>
                    <w:p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394B25">
                        <w:rPr>
                          <w:b/>
                        </w:rPr>
                        <w:t xml:space="preserve">   [</w:t>
                      </w:r>
                      <w:r w:rsidR="00530FBF">
                        <w:rPr>
                          <w:b/>
                        </w:rPr>
                        <w:t>X</w:t>
                      </w:r>
                      <w:r w:rsidR="00394B25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0765C0">
                        <w:rPr>
                          <w:b/>
                        </w:rPr>
                        <w:t xml:space="preserve"> 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797560</wp:posOffset>
                </wp:positionV>
                <wp:extent cx="5913120" cy="2352675"/>
                <wp:effectExtent l="0" t="0" r="1143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59274C" w:rsidRDefault="001E4083" w:rsidP="009054F0">
                            <w:pPr>
                              <w:pStyle w:val="DefaultText"/>
                            </w:pPr>
                            <w:r w:rsidRPr="001E4083">
                              <w:rPr>
                                <w:b/>
                                <w:i/>
                              </w:rPr>
                              <w:t xml:space="preserve">Background: </w:t>
                            </w:r>
                            <w:r w:rsidR="00037FE6" w:rsidRPr="00037FE6">
                              <w:t>The</w:t>
                            </w:r>
                            <w:r w:rsidR="00037FE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392070">
                              <w:rPr>
                                <w:rStyle w:val="InitialStyle"/>
                                <w:rFonts w:ascii="Times New Roman" w:hAnsi="Times New Roman"/>
                              </w:rPr>
                              <w:t>Sauk County</w:t>
                            </w:r>
                            <w:r w:rsidR="00037FE6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judicial system</w:t>
                            </w:r>
                            <w:r w:rsidR="0039207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has three branches of Circuit Court and a Family Court Commissioner</w:t>
                            </w:r>
                            <w:r w:rsidR="00D9467F">
                              <w:rPr>
                                <w:rStyle w:val="InitialStyle"/>
                                <w:rFonts w:ascii="Times New Roman" w:hAnsi="Times New Roman"/>
                              </w:rPr>
                              <w:t>.</w:t>
                            </w:r>
                            <w:r w:rsidR="0039207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 The audio and video systems</w:t>
                            </w:r>
                            <w:r w:rsidR="00037FE6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were last up graded in the early 2000’s</w:t>
                            </w:r>
                            <w:r w:rsidR="0039207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are coming to end of life.  The</w:t>
                            </w:r>
                            <w:r w:rsidR="00037FE6" w:rsidRPr="00037FE6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037FE6">
                              <w:rPr>
                                <w:rStyle w:val="InitialStyle"/>
                                <w:rFonts w:ascii="Times New Roman" w:hAnsi="Times New Roman"/>
                              </w:rPr>
                              <w:t>audio and video</w:t>
                            </w:r>
                            <w:r w:rsidR="0039207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systems</w:t>
                            </w:r>
                            <w:r w:rsidR="00037FE6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are requiring</w:t>
                            </w:r>
                            <w:r w:rsidR="0039207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a lot </w:t>
                            </w:r>
                            <w:r w:rsidR="00037FE6">
                              <w:rPr>
                                <w:rStyle w:val="InitialStyle"/>
                                <w:rFonts w:ascii="Times New Roman" w:hAnsi="Times New Roman"/>
                              </w:rPr>
                              <w:t>more</w:t>
                            </w:r>
                            <w:r w:rsidR="0039207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attention </w:t>
                            </w:r>
                            <w:r w:rsidR="00037FE6">
                              <w:rPr>
                                <w:rStyle w:val="InitialStyle"/>
                                <w:rFonts w:ascii="Times New Roman" w:hAnsi="Times New Roman"/>
                              </w:rPr>
                              <w:t>by</w:t>
                            </w:r>
                            <w:r w:rsidR="0039207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the maintenance and information technology staff</w:t>
                            </w:r>
                            <w:r w:rsidR="00CB567E">
                              <w:rPr>
                                <w:rStyle w:val="InitialStyle"/>
                                <w:rFonts w:ascii="Times New Roman" w:hAnsi="Times New Roman"/>
                              </w:rPr>
                              <w:t>’</w:t>
                            </w:r>
                            <w:r w:rsidR="0039207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s. </w:t>
                            </w:r>
                            <w:r w:rsidR="00415408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Input was gathered in preparation of the request </w:t>
                            </w:r>
                            <w:r w:rsidR="00037FE6">
                              <w:rPr>
                                <w:rStyle w:val="InitialStyle"/>
                                <w:rFonts w:ascii="Times New Roman" w:hAnsi="Times New Roman"/>
                              </w:rPr>
                              <w:t>for proposal from the judges and</w:t>
                            </w:r>
                            <w:r w:rsidR="00415408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court commissioner</w:t>
                            </w:r>
                            <w:r w:rsidR="00037FE6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on how they want the system to operate and assist them with their jobs</w:t>
                            </w:r>
                            <w:r w:rsidR="00415408">
                              <w:rPr>
                                <w:rStyle w:val="InitialStyle"/>
                                <w:rFonts w:ascii="Times New Roman" w:hAnsi="Times New Roman"/>
                              </w:rPr>
                              <w:t>.</w:t>
                            </w:r>
                            <w:r w:rsidR="0039207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A request for proposal was prepared</w:t>
                            </w:r>
                            <w:r w:rsidR="00037FE6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and released</w:t>
                            </w:r>
                            <w:r w:rsidR="0039207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415408">
                              <w:rPr>
                                <w:rStyle w:val="InitialStyle"/>
                                <w:rFonts w:ascii="Times New Roman" w:hAnsi="Times New Roman"/>
                              </w:rPr>
                              <w:t>to upgrade/overhaul the three circuit court branches and the family court commissioner</w:t>
                            </w:r>
                            <w:r w:rsidR="00037FE6">
                              <w:rPr>
                                <w:rStyle w:val="InitialStyle"/>
                                <w:rFonts w:ascii="Times New Roman" w:hAnsi="Times New Roman"/>
                              </w:rPr>
                              <w:t>’s</w:t>
                            </w:r>
                            <w:r w:rsidR="00415408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audio and video systems.  </w:t>
                            </w:r>
                            <w:r w:rsidR="001716B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One proposal was received for the </w:t>
                            </w:r>
                            <w:r w:rsidR="00037FE6">
                              <w:rPr>
                                <w:rStyle w:val="InitialStyle"/>
                                <w:rFonts w:ascii="Times New Roman" w:hAnsi="Times New Roman"/>
                              </w:rPr>
                              <w:t>audio/</w:t>
                            </w:r>
                            <w:r w:rsidR="001716B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video upgrade.  </w:t>
                            </w:r>
                            <w:r w:rsidR="00037FE6">
                              <w:rPr>
                                <w:rStyle w:val="InitialStyle"/>
                                <w:rFonts w:ascii="Times New Roman" w:hAnsi="Times New Roman"/>
                              </w:rPr>
                              <w:t>The</w:t>
                            </w:r>
                            <w:r w:rsidR="001716B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Facilities Director met with the prop</w:t>
                            </w:r>
                            <w:r w:rsidR="00037FE6">
                              <w:rPr>
                                <w:rStyle w:val="InitialStyle"/>
                                <w:rFonts w:ascii="Times New Roman" w:hAnsi="Times New Roman"/>
                              </w:rPr>
                              <w:t>oser to see</w:t>
                            </w:r>
                            <w:r w:rsidR="00F76C6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what </w:t>
                            </w:r>
                            <w:r w:rsidR="00CB567E">
                              <w:rPr>
                                <w:rStyle w:val="InitialStyle"/>
                                <w:rFonts w:ascii="Times New Roman" w:hAnsi="Times New Roman"/>
                              </w:rPr>
                              <w:t>equipment would</w:t>
                            </w:r>
                            <w:r w:rsidR="00F76C6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be installed</w:t>
                            </w:r>
                            <w:r w:rsidR="00CB567E">
                              <w:rPr>
                                <w:rStyle w:val="InitialStyle"/>
                                <w:rFonts w:ascii="Times New Roman" w:hAnsi="Times New Roman"/>
                              </w:rPr>
                              <w:t>,</w:t>
                            </w:r>
                            <w:r w:rsidR="00F76C6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and how </w:t>
                            </w:r>
                            <w:r w:rsidR="00CB567E">
                              <w:rPr>
                                <w:rStyle w:val="InitialStyle"/>
                                <w:rFonts w:ascii="Times New Roman" w:hAnsi="Times New Roman"/>
                              </w:rPr>
                              <w:t>system</w:t>
                            </w:r>
                            <w:r w:rsidR="00F76C6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would fu</w:t>
                            </w:r>
                            <w:r w:rsidR="00CB567E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nction and assist the courts </w:t>
                            </w:r>
                            <w:r w:rsidR="00F76C60">
                              <w:rPr>
                                <w:rStyle w:val="InitialStyle"/>
                                <w:rFonts w:ascii="Times New Roman" w:hAnsi="Times New Roman"/>
                              </w:rPr>
                              <w:t>in accomplishing their duties more effectively and efficiently.  The Facilities Director is comfortable moving forward with the lone proposal from Lifeline Audio Video Technologies at a cost of $122,445.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.75pt;margin-top:62.8pt;width:465.6pt;height:185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T5LQIAAFgEAAAOAAAAZHJzL2Uyb0RvYy54bWysVF1v2yAUfZ+0/4B4Xxy7SdtYcaouXaZJ&#10;3YfU7gdgjG00zGVAYme/fhfsZta2p2l+QMC9HA7n3Ovt3dApchLWSdAFTRdLSoTmUEndFPTr8+HN&#10;LSXOM10xBVoU9Cwcvdu9frXtTS4yaEFVwhIE0S7vTUFb702eJI63omNuAUZoDNZgO+ZxaZuksqxH&#10;9E4l2XJ5nfRgK2OBC+dw92EM0l3Er2vB/ee6dsITVVDk5uNo41iGMdltWd5YZlrJJxrsH1h0TGq8&#10;9AL1wDwjRyv/gOokt+Cg9gsOXQJ1LbmIb8DXpMvfXvPUMiPiW1AcZy4yuf8Hyz+dvlgiK/SOEs06&#10;tOhZDJ68hYFkQZ3euByTngym+QG3Q2Z4qTOPwL85omHfMt2Ie2uhbwWrkF0aTiazoyOOCyBl/xEq&#10;vIYdPUSgobZdAEQxCKKjS+eLM4EKx831Jr1KMwxxjGVX6+z6Zh3vYPnLcWOdfy+gI2FSUIvWR3h2&#10;enQ+0GH5S0qkD0pWB6lUXNim3CtLTgzL5BC/Cd3N05QmfUE362w9KjCPuTnEMn5/g+ikx3pXsivo&#10;7SWJ5UG3d7qK1eiZVOMcKSs9CRm0G1X0QzlMjk3+lFCdUVkLY3ljO+KkBfuDkh5Lu6Du+5FZQYn6&#10;oNGdTbpahV6Ii9X6Juhq55FyHmGaI1RBPSXjdO/H/jkaK5sWbxrrQcM9OlrLqHWwfmQ10cfyjRZM&#10;rRb6Y76OWb9+CLufAAAA//8DAFBLAwQUAAYACAAAACEAPRUUjuEAAAAKAQAADwAAAGRycy9kb3du&#10;cmV2LnhtbEyPy07DMBBF90j8gzVIbFDrNG2TJsSpEBKI7qAg2LrxNInwI9huGv6eYQXLmTm6c261&#10;nYxmI/rQOytgMU+AoW2c6m0r4O31YbYBFqK0SmpnUcA3BtjWlxeVLJU72xcc97FlFGJDKQV0MQ4l&#10;56Hp0MgwdwNauh2dNzLS6FuuvDxTuNE8TZKMG9lb+tDJAe87bD73JyNgs3oaP8Ju+fzeZEddxJt8&#10;fPzyQlxfTXe3wCJO8Q+GX31Sh5qcDu5kVWBawCxfE0n7dJ0BI6BIlzmwg4BVkS2A1xX/X6H+AQAA&#10;//8DAFBLAQItABQABgAIAAAAIQC2gziS/gAAAOEBAAATAAAAAAAAAAAAAAAAAAAAAABbQ29udGVu&#10;dF9UeXBlc10ueG1sUEsBAi0AFAAGAAgAAAAhADj9If/WAAAAlAEAAAsAAAAAAAAAAAAAAAAALwEA&#10;AF9yZWxzLy5yZWxzUEsBAi0AFAAGAAgAAAAhAKys1PktAgAAWAQAAA4AAAAAAAAAAAAAAAAALgIA&#10;AGRycy9lMm9Eb2MueG1sUEsBAi0AFAAGAAgAAAAhAD0VFI7hAAAACgEAAA8AAAAAAAAAAAAAAAAA&#10;hwQAAGRycy9kb3ducmV2LnhtbFBLBQYAAAAABAAEAPMAAACVBQAAAAA=&#10;">
                <v:textbox>
                  <w:txbxContent>
                    <w:p w:rsidR="001E4083" w:rsidRPr="0059274C" w:rsidRDefault="001E4083" w:rsidP="009054F0">
                      <w:pPr>
                        <w:pStyle w:val="DefaultText"/>
                      </w:pPr>
                      <w:r w:rsidRPr="001E4083">
                        <w:rPr>
                          <w:b/>
                          <w:i/>
                        </w:rPr>
                        <w:t xml:space="preserve">Background: </w:t>
                      </w:r>
                      <w:r w:rsidR="00037FE6" w:rsidRPr="00037FE6">
                        <w:t>The</w:t>
                      </w:r>
                      <w:r w:rsidR="00037FE6">
                        <w:rPr>
                          <w:b/>
                          <w:i/>
                        </w:rPr>
                        <w:t xml:space="preserve"> </w:t>
                      </w:r>
                      <w:r w:rsidR="00392070">
                        <w:rPr>
                          <w:rStyle w:val="InitialStyle"/>
                          <w:rFonts w:ascii="Times New Roman" w:hAnsi="Times New Roman"/>
                        </w:rPr>
                        <w:t>Sauk County</w:t>
                      </w:r>
                      <w:r w:rsidR="00037FE6">
                        <w:rPr>
                          <w:rStyle w:val="InitialStyle"/>
                          <w:rFonts w:ascii="Times New Roman" w:hAnsi="Times New Roman"/>
                        </w:rPr>
                        <w:t xml:space="preserve"> judicial system</w:t>
                      </w:r>
                      <w:r w:rsidR="00392070">
                        <w:rPr>
                          <w:rStyle w:val="InitialStyle"/>
                          <w:rFonts w:ascii="Times New Roman" w:hAnsi="Times New Roman"/>
                        </w:rPr>
                        <w:t xml:space="preserve"> has three branches of Circuit Court and a Family Court Commissioner</w:t>
                      </w:r>
                      <w:r w:rsidR="00D9467F">
                        <w:rPr>
                          <w:rStyle w:val="InitialStyle"/>
                          <w:rFonts w:ascii="Times New Roman" w:hAnsi="Times New Roman"/>
                        </w:rPr>
                        <w:t>.</w:t>
                      </w:r>
                      <w:r w:rsidR="00392070">
                        <w:rPr>
                          <w:rStyle w:val="InitialStyle"/>
                          <w:rFonts w:ascii="Times New Roman" w:hAnsi="Times New Roman"/>
                        </w:rPr>
                        <w:t xml:space="preserve">  The audio and video systems</w:t>
                      </w:r>
                      <w:r w:rsidR="00037FE6">
                        <w:rPr>
                          <w:rStyle w:val="InitialStyle"/>
                          <w:rFonts w:ascii="Times New Roman" w:hAnsi="Times New Roman"/>
                        </w:rPr>
                        <w:t xml:space="preserve"> were last up graded in the early 2000’s</w:t>
                      </w:r>
                      <w:r w:rsidR="00392070">
                        <w:rPr>
                          <w:rStyle w:val="InitialStyle"/>
                          <w:rFonts w:ascii="Times New Roman" w:hAnsi="Times New Roman"/>
                        </w:rPr>
                        <w:t xml:space="preserve"> are coming to end of life.  The</w:t>
                      </w:r>
                      <w:r w:rsidR="00037FE6" w:rsidRPr="00037FE6">
                        <w:rPr>
                          <w:rStyle w:val="InitialStyle"/>
                          <w:rFonts w:ascii="Times New Roman" w:hAnsi="Times New Roman"/>
                        </w:rPr>
                        <w:t xml:space="preserve"> </w:t>
                      </w:r>
                      <w:r w:rsidR="00037FE6">
                        <w:rPr>
                          <w:rStyle w:val="InitialStyle"/>
                          <w:rFonts w:ascii="Times New Roman" w:hAnsi="Times New Roman"/>
                        </w:rPr>
                        <w:t>audio and video</w:t>
                      </w:r>
                      <w:r w:rsidR="00392070">
                        <w:rPr>
                          <w:rStyle w:val="InitialStyle"/>
                          <w:rFonts w:ascii="Times New Roman" w:hAnsi="Times New Roman"/>
                        </w:rPr>
                        <w:t xml:space="preserve"> systems</w:t>
                      </w:r>
                      <w:r w:rsidR="00037FE6">
                        <w:rPr>
                          <w:rStyle w:val="InitialStyle"/>
                          <w:rFonts w:ascii="Times New Roman" w:hAnsi="Times New Roman"/>
                        </w:rPr>
                        <w:t xml:space="preserve"> are requiring</w:t>
                      </w:r>
                      <w:r w:rsidR="00392070">
                        <w:rPr>
                          <w:rStyle w:val="InitialStyle"/>
                          <w:rFonts w:ascii="Times New Roman" w:hAnsi="Times New Roman"/>
                        </w:rPr>
                        <w:t xml:space="preserve"> a lot </w:t>
                      </w:r>
                      <w:r w:rsidR="00037FE6">
                        <w:rPr>
                          <w:rStyle w:val="InitialStyle"/>
                          <w:rFonts w:ascii="Times New Roman" w:hAnsi="Times New Roman"/>
                        </w:rPr>
                        <w:t>more</w:t>
                      </w:r>
                      <w:r w:rsidR="00392070">
                        <w:rPr>
                          <w:rStyle w:val="InitialStyle"/>
                          <w:rFonts w:ascii="Times New Roman" w:hAnsi="Times New Roman"/>
                        </w:rPr>
                        <w:t xml:space="preserve"> attention </w:t>
                      </w:r>
                      <w:r w:rsidR="00037FE6">
                        <w:rPr>
                          <w:rStyle w:val="InitialStyle"/>
                          <w:rFonts w:ascii="Times New Roman" w:hAnsi="Times New Roman"/>
                        </w:rPr>
                        <w:t>by</w:t>
                      </w:r>
                      <w:r w:rsidR="00392070">
                        <w:rPr>
                          <w:rStyle w:val="InitialStyle"/>
                          <w:rFonts w:ascii="Times New Roman" w:hAnsi="Times New Roman"/>
                        </w:rPr>
                        <w:t xml:space="preserve"> the maintenance and information technology staff</w:t>
                      </w:r>
                      <w:r w:rsidR="00CB567E">
                        <w:rPr>
                          <w:rStyle w:val="InitialStyle"/>
                          <w:rFonts w:ascii="Times New Roman" w:hAnsi="Times New Roman"/>
                        </w:rPr>
                        <w:t>’</w:t>
                      </w:r>
                      <w:r w:rsidR="00392070">
                        <w:rPr>
                          <w:rStyle w:val="InitialStyle"/>
                          <w:rFonts w:ascii="Times New Roman" w:hAnsi="Times New Roman"/>
                        </w:rPr>
                        <w:t xml:space="preserve">s. </w:t>
                      </w:r>
                      <w:r w:rsidR="00415408">
                        <w:rPr>
                          <w:rStyle w:val="InitialStyle"/>
                          <w:rFonts w:ascii="Times New Roman" w:hAnsi="Times New Roman"/>
                        </w:rPr>
                        <w:t xml:space="preserve"> Input was gathered in preparation of the request </w:t>
                      </w:r>
                      <w:r w:rsidR="00037FE6">
                        <w:rPr>
                          <w:rStyle w:val="InitialStyle"/>
                          <w:rFonts w:ascii="Times New Roman" w:hAnsi="Times New Roman"/>
                        </w:rPr>
                        <w:t>for proposal from the judges and</w:t>
                      </w:r>
                      <w:r w:rsidR="00415408">
                        <w:rPr>
                          <w:rStyle w:val="InitialStyle"/>
                          <w:rFonts w:ascii="Times New Roman" w:hAnsi="Times New Roman"/>
                        </w:rPr>
                        <w:t xml:space="preserve"> court commissioner</w:t>
                      </w:r>
                      <w:r w:rsidR="00037FE6">
                        <w:rPr>
                          <w:rStyle w:val="InitialStyle"/>
                          <w:rFonts w:ascii="Times New Roman" w:hAnsi="Times New Roman"/>
                        </w:rPr>
                        <w:t xml:space="preserve"> on how they want the system to operate and assist them with their jobs</w:t>
                      </w:r>
                      <w:r w:rsidR="00415408">
                        <w:rPr>
                          <w:rStyle w:val="InitialStyle"/>
                          <w:rFonts w:ascii="Times New Roman" w:hAnsi="Times New Roman"/>
                        </w:rPr>
                        <w:t>.</w:t>
                      </w:r>
                      <w:r w:rsidR="00392070">
                        <w:rPr>
                          <w:rStyle w:val="InitialStyle"/>
                          <w:rFonts w:ascii="Times New Roman" w:hAnsi="Times New Roman"/>
                        </w:rPr>
                        <w:t xml:space="preserve"> A request for proposal was prepared</w:t>
                      </w:r>
                      <w:r w:rsidR="00037FE6">
                        <w:rPr>
                          <w:rStyle w:val="InitialStyle"/>
                          <w:rFonts w:ascii="Times New Roman" w:hAnsi="Times New Roman"/>
                        </w:rPr>
                        <w:t xml:space="preserve"> and released</w:t>
                      </w:r>
                      <w:r w:rsidR="00392070">
                        <w:rPr>
                          <w:rStyle w:val="InitialStyle"/>
                          <w:rFonts w:ascii="Times New Roman" w:hAnsi="Times New Roman"/>
                        </w:rPr>
                        <w:t xml:space="preserve"> </w:t>
                      </w:r>
                      <w:r w:rsidR="00415408">
                        <w:rPr>
                          <w:rStyle w:val="InitialStyle"/>
                          <w:rFonts w:ascii="Times New Roman" w:hAnsi="Times New Roman"/>
                        </w:rPr>
                        <w:t>to upgrade/overhaul the three circuit court branches and the family court commissioner</w:t>
                      </w:r>
                      <w:r w:rsidR="00037FE6">
                        <w:rPr>
                          <w:rStyle w:val="InitialStyle"/>
                          <w:rFonts w:ascii="Times New Roman" w:hAnsi="Times New Roman"/>
                        </w:rPr>
                        <w:t>’s</w:t>
                      </w:r>
                      <w:r w:rsidR="00415408">
                        <w:rPr>
                          <w:rStyle w:val="InitialStyle"/>
                          <w:rFonts w:ascii="Times New Roman" w:hAnsi="Times New Roman"/>
                        </w:rPr>
                        <w:t xml:space="preserve"> audio and video systems.  </w:t>
                      </w:r>
                      <w:r w:rsidR="001716B0">
                        <w:rPr>
                          <w:rStyle w:val="InitialStyle"/>
                          <w:rFonts w:ascii="Times New Roman" w:hAnsi="Times New Roman"/>
                        </w:rPr>
                        <w:t xml:space="preserve">One proposal was received for the </w:t>
                      </w:r>
                      <w:r w:rsidR="00037FE6">
                        <w:rPr>
                          <w:rStyle w:val="InitialStyle"/>
                          <w:rFonts w:ascii="Times New Roman" w:hAnsi="Times New Roman"/>
                        </w:rPr>
                        <w:t>audio/</w:t>
                      </w:r>
                      <w:r w:rsidR="001716B0">
                        <w:rPr>
                          <w:rStyle w:val="InitialStyle"/>
                          <w:rFonts w:ascii="Times New Roman" w:hAnsi="Times New Roman"/>
                        </w:rPr>
                        <w:t xml:space="preserve">video upgrade.  </w:t>
                      </w:r>
                      <w:r w:rsidR="00037FE6">
                        <w:rPr>
                          <w:rStyle w:val="InitialStyle"/>
                          <w:rFonts w:ascii="Times New Roman" w:hAnsi="Times New Roman"/>
                        </w:rPr>
                        <w:t>The</w:t>
                      </w:r>
                      <w:r w:rsidR="001716B0">
                        <w:rPr>
                          <w:rStyle w:val="InitialStyle"/>
                          <w:rFonts w:ascii="Times New Roman" w:hAnsi="Times New Roman"/>
                        </w:rPr>
                        <w:t xml:space="preserve"> Facilities Director met with the prop</w:t>
                      </w:r>
                      <w:r w:rsidR="00037FE6">
                        <w:rPr>
                          <w:rStyle w:val="InitialStyle"/>
                          <w:rFonts w:ascii="Times New Roman" w:hAnsi="Times New Roman"/>
                        </w:rPr>
                        <w:t>oser to see</w:t>
                      </w:r>
                      <w:r w:rsidR="00F76C60">
                        <w:rPr>
                          <w:rStyle w:val="InitialStyle"/>
                          <w:rFonts w:ascii="Times New Roman" w:hAnsi="Times New Roman"/>
                        </w:rPr>
                        <w:t xml:space="preserve"> what </w:t>
                      </w:r>
                      <w:r w:rsidR="00CB567E">
                        <w:rPr>
                          <w:rStyle w:val="InitialStyle"/>
                          <w:rFonts w:ascii="Times New Roman" w:hAnsi="Times New Roman"/>
                        </w:rPr>
                        <w:t>equipment would</w:t>
                      </w:r>
                      <w:r w:rsidR="00F76C60">
                        <w:rPr>
                          <w:rStyle w:val="InitialStyle"/>
                          <w:rFonts w:ascii="Times New Roman" w:hAnsi="Times New Roman"/>
                        </w:rPr>
                        <w:t xml:space="preserve"> be installed</w:t>
                      </w:r>
                      <w:r w:rsidR="00CB567E">
                        <w:rPr>
                          <w:rStyle w:val="InitialStyle"/>
                          <w:rFonts w:ascii="Times New Roman" w:hAnsi="Times New Roman"/>
                        </w:rPr>
                        <w:t>,</w:t>
                      </w:r>
                      <w:r w:rsidR="00F76C60">
                        <w:rPr>
                          <w:rStyle w:val="InitialStyle"/>
                          <w:rFonts w:ascii="Times New Roman" w:hAnsi="Times New Roman"/>
                        </w:rPr>
                        <w:t xml:space="preserve"> and how </w:t>
                      </w:r>
                      <w:r w:rsidR="00CB567E">
                        <w:rPr>
                          <w:rStyle w:val="InitialStyle"/>
                          <w:rFonts w:ascii="Times New Roman" w:hAnsi="Times New Roman"/>
                        </w:rPr>
                        <w:t>system</w:t>
                      </w:r>
                      <w:r w:rsidR="00F76C60">
                        <w:rPr>
                          <w:rStyle w:val="InitialStyle"/>
                          <w:rFonts w:ascii="Times New Roman" w:hAnsi="Times New Roman"/>
                        </w:rPr>
                        <w:t xml:space="preserve"> would fu</w:t>
                      </w:r>
                      <w:r w:rsidR="00CB567E">
                        <w:rPr>
                          <w:rStyle w:val="InitialStyle"/>
                          <w:rFonts w:ascii="Times New Roman" w:hAnsi="Times New Roman"/>
                        </w:rPr>
                        <w:t xml:space="preserve">nction and assist the courts </w:t>
                      </w:r>
                      <w:r w:rsidR="00F76C60">
                        <w:rPr>
                          <w:rStyle w:val="InitialStyle"/>
                          <w:rFonts w:ascii="Times New Roman" w:hAnsi="Times New Roman"/>
                        </w:rPr>
                        <w:t>in accomplishing their duties more effectively and efficiently.  The Facilities Director is comfortable moving forward with the lone proposal from Lifeline Audio Video Technologies at a cost of $122,445.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54F0" w:rsidRPr="009054F0">
        <w:rPr>
          <w:rStyle w:val="InitialStyle"/>
          <w:rFonts w:ascii="Times New Roman" w:hAnsi="Times New Roman"/>
          <w:b/>
        </w:rPr>
        <w:t xml:space="preserve">AUTHORIZATION TO CONTRACT WITH </w:t>
      </w:r>
      <w:r w:rsidR="00085E59">
        <w:rPr>
          <w:rStyle w:val="InitialStyle"/>
          <w:rFonts w:ascii="Times New Roman" w:hAnsi="Times New Roman"/>
          <w:b/>
        </w:rPr>
        <w:t>LIFELINE AUDIO VIDEO TECHNOLOGIES</w:t>
      </w:r>
      <w:r w:rsidR="009054F0" w:rsidRPr="009054F0">
        <w:rPr>
          <w:rStyle w:val="InitialStyle"/>
          <w:rFonts w:ascii="Times New Roman" w:hAnsi="Times New Roman"/>
          <w:b/>
        </w:rPr>
        <w:t xml:space="preserve"> TO </w:t>
      </w:r>
      <w:r w:rsidR="00085E59">
        <w:rPr>
          <w:rStyle w:val="InitialStyle"/>
          <w:rFonts w:ascii="Times New Roman" w:hAnsi="Times New Roman"/>
          <w:b/>
        </w:rPr>
        <w:t xml:space="preserve">UPGRADE THE AUDIO &amp; VIDEO SYSTEMS IN THE SAUK COUNTY COURTROOMS, AND AMEND THE 2019 BUILDING SERVICES BUDGET TO COMPLETE </w:t>
      </w:r>
      <w:r>
        <w:rPr>
          <w:rStyle w:val="InitialStyle"/>
          <w:rFonts w:ascii="Times New Roman" w:hAnsi="Times New Roman"/>
          <w:b/>
        </w:rPr>
        <w:t>THE AUDIO &amp; VIDEO</w:t>
      </w:r>
      <w:r w:rsidR="00085E59">
        <w:rPr>
          <w:rStyle w:val="InitialStyle"/>
          <w:rFonts w:ascii="Times New Roman" w:hAnsi="Times New Roman"/>
          <w:b/>
        </w:rPr>
        <w:t xml:space="preserve"> UPGRADE</w:t>
      </w:r>
      <w:r w:rsidR="009054F0" w:rsidRPr="009054F0">
        <w:rPr>
          <w:rStyle w:val="InitialStyle"/>
          <w:rFonts w:ascii="Times New Roman" w:hAnsi="Times New Roman"/>
          <w:b/>
        </w:rPr>
        <w:t xml:space="preserve"> </w:t>
      </w: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  <w:b/>
        </w:rPr>
      </w:pP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  <w:r w:rsidRPr="009054F0">
        <w:rPr>
          <w:rStyle w:val="InitialStyle"/>
          <w:rFonts w:ascii="Times New Roman" w:hAnsi="Times New Roman"/>
          <w:b/>
        </w:rPr>
        <w:tab/>
        <w:t>NOW, THEREFORE, BE IT RESOLVED</w:t>
      </w:r>
      <w:r w:rsidRPr="009054F0">
        <w:rPr>
          <w:rStyle w:val="InitialStyle"/>
          <w:rFonts w:ascii="Times New Roman" w:hAnsi="Times New Roman"/>
        </w:rPr>
        <w:t>, by the Sauk County Board of Supervisors met in regular session,</w:t>
      </w:r>
      <w:r w:rsidR="00D9467F">
        <w:rPr>
          <w:rStyle w:val="InitialStyle"/>
          <w:rFonts w:ascii="Times New Roman" w:hAnsi="Times New Roman"/>
        </w:rPr>
        <w:t xml:space="preserve"> and</w:t>
      </w:r>
      <w:r w:rsidRPr="009054F0">
        <w:rPr>
          <w:rStyle w:val="InitialStyle"/>
          <w:rFonts w:ascii="Times New Roman" w:hAnsi="Times New Roman"/>
        </w:rPr>
        <w:t xml:space="preserve"> that the Building Services</w:t>
      </w:r>
      <w:r w:rsidR="00D9467F">
        <w:rPr>
          <w:rStyle w:val="InitialStyle"/>
          <w:rFonts w:ascii="Times New Roman" w:hAnsi="Times New Roman"/>
        </w:rPr>
        <w:t xml:space="preserve"> Facilities</w:t>
      </w:r>
      <w:r w:rsidRPr="009054F0">
        <w:rPr>
          <w:rStyle w:val="InitialStyle"/>
          <w:rFonts w:ascii="Times New Roman" w:hAnsi="Times New Roman"/>
        </w:rPr>
        <w:t xml:space="preserve"> Director is hereby authorized to contract with </w:t>
      </w:r>
      <w:r w:rsidR="00F76C60">
        <w:rPr>
          <w:rStyle w:val="InitialStyle"/>
          <w:rFonts w:ascii="Times New Roman" w:hAnsi="Times New Roman"/>
        </w:rPr>
        <w:t>Lifeline Audio Video Technologies</w:t>
      </w:r>
      <w:r w:rsidR="006A6655">
        <w:rPr>
          <w:rStyle w:val="InitialStyle"/>
          <w:rFonts w:ascii="Times New Roman" w:hAnsi="Times New Roman"/>
        </w:rPr>
        <w:t>.</w:t>
      </w:r>
      <w:r w:rsidRPr="009054F0">
        <w:rPr>
          <w:rStyle w:val="InitialStyle"/>
          <w:rFonts w:ascii="Times New Roman" w:hAnsi="Times New Roman"/>
        </w:rPr>
        <w:t xml:space="preserve"> for $</w:t>
      </w:r>
      <w:r w:rsidR="00F76C60">
        <w:rPr>
          <w:rStyle w:val="InitialStyle"/>
          <w:rFonts w:ascii="Times New Roman" w:hAnsi="Times New Roman"/>
        </w:rPr>
        <w:t>122,445</w:t>
      </w:r>
      <w:r w:rsidRPr="009054F0">
        <w:rPr>
          <w:rStyle w:val="InitialStyle"/>
          <w:rFonts w:ascii="Times New Roman" w:hAnsi="Times New Roman"/>
        </w:rPr>
        <w:t xml:space="preserve"> to complete the </w:t>
      </w:r>
      <w:r w:rsidR="00F76C60">
        <w:rPr>
          <w:rStyle w:val="InitialStyle"/>
          <w:rFonts w:ascii="Times New Roman" w:hAnsi="Times New Roman"/>
        </w:rPr>
        <w:t>upgrade of the audio and video systems in the S</w:t>
      </w:r>
      <w:r w:rsidRPr="009054F0">
        <w:rPr>
          <w:rStyle w:val="InitialStyle"/>
          <w:rFonts w:ascii="Times New Roman" w:hAnsi="Times New Roman"/>
        </w:rPr>
        <w:t xml:space="preserve">auk County </w:t>
      </w:r>
      <w:r w:rsidR="00F76C60">
        <w:rPr>
          <w:rStyle w:val="InitialStyle"/>
          <w:rFonts w:ascii="Times New Roman" w:hAnsi="Times New Roman"/>
        </w:rPr>
        <w:t>courtrooms, and amend the 2019 Building Services budget</w:t>
      </w:r>
      <w:r w:rsidR="000D1E61">
        <w:rPr>
          <w:rStyle w:val="InitialStyle"/>
          <w:rFonts w:ascii="Times New Roman" w:hAnsi="Times New Roman"/>
        </w:rPr>
        <w:t xml:space="preserve"> in the amount of $65,000</w:t>
      </w:r>
      <w:r w:rsidR="00F76C60">
        <w:rPr>
          <w:rStyle w:val="InitialStyle"/>
          <w:rFonts w:ascii="Times New Roman" w:hAnsi="Times New Roman"/>
        </w:rPr>
        <w:t xml:space="preserve"> to </w:t>
      </w:r>
      <w:r w:rsidR="000D1E61">
        <w:rPr>
          <w:rStyle w:val="InitialStyle"/>
          <w:rFonts w:ascii="Times New Roman" w:hAnsi="Times New Roman"/>
        </w:rPr>
        <w:t xml:space="preserve">complete the </w:t>
      </w:r>
      <w:r w:rsidR="006E038E">
        <w:rPr>
          <w:rStyle w:val="InitialStyle"/>
          <w:rFonts w:ascii="Times New Roman" w:hAnsi="Times New Roman"/>
        </w:rPr>
        <w:t>upgrade in the courtroom</w:t>
      </w:r>
      <w:r w:rsidR="000D1E61">
        <w:rPr>
          <w:rStyle w:val="InitialStyle"/>
          <w:rFonts w:ascii="Times New Roman" w:hAnsi="Times New Roman"/>
        </w:rPr>
        <w:t xml:space="preserve"> audio and video systems</w:t>
      </w:r>
      <w:r w:rsidRPr="009054F0">
        <w:rPr>
          <w:rStyle w:val="InitialStyle"/>
          <w:rFonts w:ascii="Times New Roman" w:hAnsi="Times New Roman"/>
        </w:rPr>
        <w:t>; and,</w:t>
      </w: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  <w:szCs w:val="24"/>
        </w:rPr>
      </w:pPr>
      <w:r w:rsidRPr="009054F0">
        <w:rPr>
          <w:rStyle w:val="InitialStyle"/>
          <w:rFonts w:ascii="Times New Roman" w:hAnsi="Times New Roman"/>
        </w:rPr>
        <w:tab/>
      </w:r>
      <w:r w:rsidRPr="009054F0">
        <w:rPr>
          <w:rStyle w:val="InitialStyle"/>
          <w:rFonts w:ascii="Times New Roman" w:hAnsi="Times New Roman"/>
          <w:b/>
          <w:szCs w:val="24"/>
        </w:rPr>
        <w:t>BE IT FURTHER RESOLVED</w:t>
      </w:r>
      <w:r w:rsidRPr="009054F0">
        <w:rPr>
          <w:rStyle w:val="InitialStyle"/>
          <w:rFonts w:ascii="Times New Roman" w:hAnsi="Times New Roman"/>
          <w:szCs w:val="24"/>
        </w:rPr>
        <w:t>, that the Buildings Services Facility Director is hereby authorized to approve change orders for any potential unforeseen conditions as long as such change orders individually do not exceed $10,000.00, so long as budget dollars are available for those changes.</w:t>
      </w: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  <w:r w:rsidRPr="009054F0">
        <w:rPr>
          <w:rStyle w:val="InitialStyle"/>
          <w:rFonts w:ascii="Times New Roman" w:hAnsi="Times New Roman"/>
        </w:rPr>
        <w:t xml:space="preserve"> </w:t>
      </w: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  <w:r w:rsidRPr="009054F0">
        <w:rPr>
          <w:rStyle w:val="InitialStyle"/>
          <w:rFonts w:ascii="Times New Roman" w:hAnsi="Times New Roman"/>
        </w:rPr>
        <w:t xml:space="preserve">For consideration by the Sauk County Board of Supervisors on </w:t>
      </w:r>
      <w:r w:rsidR="000D1E61">
        <w:rPr>
          <w:rStyle w:val="InitialStyle"/>
          <w:rFonts w:ascii="Times New Roman" w:hAnsi="Times New Roman"/>
        </w:rPr>
        <w:t>September 17</w:t>
      </w:r>
      <w:r w:rsidRPr="009054F0">
        <w:rPr>
          <w:rStyle w:val="InitialStyle"/>
          <w:rFonts w:ascii="Times New Roman" w:hAnsi="Times New Roman"/>
          <w:vertAlign w:val="superscript"/>
        </w:rPr>
        <w:t>th</w:t>
      </w:r>
      <w:r w:rsidRPr="009054F0">
        <w:rPr>
          <w:rStyle w:val="InitialStyle"/>
          <w:rFonts w:ascii="Times New Roman" w:hAnsi="Times New Roman"/>
        </w:rPr>
        <w:t>, 201</w:t>
      </w:r>
      <w:r w:rsidR="006A6655">
        <w:rPr>
          <w:rStyle w:val="InitialStyle"/>
          <w:rFonts w:ascii="Times New Roman" w:hAnsi="Times New Roman"/>
        </w:rPr>
        <w:t>9</w:t>
      </w:r>
      <w:r w:rsidRPr="009054F0">
        <w:rPr>
          <w:rStyle w:val="InitialStyle"/>
          <w:rFonts w:ascii="Times New Roman" w:hAnsi="Times New Roman"/>
        </w:rPr>
        <w:t>.</w:t>
      </w: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EC01ED" w:rsidRDefault="00EC01ED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  <w:r w:rsidRPr="009054F0">
        <w:rPr>
          <w:rStyle w:val="InitialStyle"/>
          <w:rFonts w:ascii="Times New Roman" w:hAnsi="Times New Roman"/>
        </w:rPr>
        <w:t xml:space="preserve">Respectfully submitted, </w:t>
      </w:r>
    </w:p>
    <w:p w:rsid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0D1E61" w:rsidRDefault="000D1E61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0D1E61" w:rsidRDefault="000D1E61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0D1E61" w:rsidRDefault="000D1E61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0D1E61" w:rsidRDefault="000D1E61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0D1E61" w:rsidRDefault="000D1E61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0D1E61" w:rsidRDefault="000D1E61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0D1E61" w:rsidRDefault="000D1E61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0D1E61" w:rsidRDefault="000D1E61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0D1E61" w:rsidRDefault="000D1E61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102C19" w:rsidRDefault="00102C19" w:rsidP="00102C19">
      <w:pPr>
        <w:pStyle w:val="DefaultTex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PAGE 2</w:t>
      </w:r>
    </w:p>
    <w:p w:rsidR="00102C19" w:rsidRDefault="00102C19" w:rsidP="00102C19">
      <w:pPr>
        <w:pStyle w:val="DefaultText"/>
        <w:rPr>
          <w:b/>
          <w:sz w:val="22"/>
          <w:szCs w:val="22"/>
        </w:rPr>
      </w:pPr>
    </w:p>
    <w:p w:rsidR="00102C19" w:rsidRPr="00102C19" w:rsidRDefault="00102C19" w:rsidP="00102C19">
      <w:pPr>
        <w:pStyle w:val="DefaultText"/>
        <w:rPr>
          <w:b/>
          <w:sz w:val="22"/>
          <w:szCs w:val="22"/>
        </w:rPr>
      </w:pPr>
      <w:bookmarkStart w:id="0" w:name="_GoBack"/>
      <w:bookmarkEnd w:id="0"/>
      <w:r w:rsidRPr="00102C19">
        <w:rPr>
          <w:b/>
          <w:sz w:val="22"/>
          <w:szCs w:val="22"/>
        </w:rPr>
        <w:t>RESOLUTION NO. _____ - 2019</w:t>
      </w:r>
    </w:p>
    <w:p w:rsidR="00102C19" w:rsidRDefault="00102C19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  <w:b/>
          <w:sz w:val="22"/>
          <w:szCs w:val="22"/>
        </w:rPr>
      </w:pPr>
    </w:p>
    <w:p w:rsidR="000D1E61" w:rsidRPr="00102C19" w:rsidRDefault="00102C19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  <w:sz w:val="22"/>
          <w:szCs w:val="22"/>
        </w:rPr>
      </w:pPr>
      <w:r w:rsidRPr="00102C19">
        <w:rPr>
          <w:rStyle w:val="InitialStyle"/>
          <w:rFonts w:ascii="Times New Roman" w:hAnsi="Times New Roman"/>
          <w:b/>
          <w:sz w:val="22"/>
          <w:szCs w:val="22"/>
        </w:rPr>
        <w:t>AUTHORIZATION TO CONTRACT WITH LIFELINE AUDIO VIDEO TECHNOLOGIES TO UPGRADE THE AUDIO &amp; VIDEO SYSTEMS IN THE SAUK COUNTY COURTROOMS, AND AMEND THE 2019 BUILDING SERVICES BUDGET TO COMPLETE THE AUDIO &amp; VIDEO UPGRADE</w:t>
      </w:r>
    </w:p>
    <w:p w:rsidR="00102C19" w:rsidRPr="009054F0" w:rsidRDefault="00102C19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9054F0" w:rsidRPr="009054F0" w:rsidRDefault="009054F0" w:rsidP="009054F0">
      <w:pPr>
        <w:pStyle w:val="DefaultText"/>
        <w:rPr>
          <w:b/>
          <w:bCs/>
          <w:caps/>
          <w:sz w:val="22"/>
          <w:szCs w:val="22"/>
        </w:rPr>
      </w:pPr>
      <w:r w:rsidRPr="009054F0">
        <w:rPr>
          <w:b/>
          <w:bCs/>
          <w:caps/>
          <w:sz w:val="22"/>
          <w:szCs w:val="22"/>
        </w:rPr>
        <w:t>Sauk County Property and Insurance Committee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90"/>
        <w:gridCol w:w="4675"/>
      </w:tblGrid>
      <w:tr w:rsidR="009054F0" w:rsidRPr="009054F0" w:rsidTr="00BA0BEF">
        <w:trPr>
          <w:cantSplit/>
          <w:trHeight w:hRule="exact" w:val="108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_____________________________________</w:t>
            </w: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Scott Von Asten, Chair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_____________________________________</w:t>
            </w: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William Hambrecht</w:t>
            </w:r>
          </w:p>
        </w:tc>
      </w:tr>
      <w:tr w:rsidR="009054F0" w:rsidRPr="009054F0" w:rsidTr="00BA0BEF">
        <w:trPr>
          <w:cantSplit/>
          <w:trHeight w:hRule="exact" w:val="828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_____________________________________</w:t>
            </w:r>
          </w:p>
          <w:p w:rsidR="009054F0" w:rsidRPr="009054F0" w:rsidRDefault="000D1E61" w:rsidP="00BA0BEF">
            <w:pPr>
              <w:pStyle w:val="Table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Shane Gibson</w:t>
            </w: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_____________________________________</w:t>
            </w: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Jean Berlin</w:t>
            </w:r>
          </w:p>
        </w:tc>
      </w:tr>
      <w:tr w:rsidR="009054F0" w:rsidRPr="009054F0" w:rsidTr="00BA0BEF">
        <w:trPr>
          <w:cantSplit/>
          <w:trHeight w:hRule="exact" w:val="108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_____________________________________</w:t>
            </w:r>
          </w:p>
          <w:p w:rsidR="009054F0" w:rsidRPr="009054F0" w:rsidRDefault="000D1E61" w:rsidP="00BA0BEF">
            <w:pPr>
              <w:pStyle w:val="Table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Gruber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9054F0" w:rsidRPr="009054F0" w:rsidRDefault="009054F0" w:rsidP="00BA0BEF">
            <w:pPr>
              <w:pStyle w:val="DefaultTex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 xml:space="preserve"> </w:t>
            </w:r>
          </w:p>
        </w:tc>
      </w:tr>
    </w:tbl>
    <w:p w:rsid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  <w:r w:rsidRPr="009054F0">
        <w:rPr>
          <w:b/>
        </w:rPr>
        <w:t>Fiscal Note:</w:t>
      </w:r>
      <w:r w:rsidRPr="009054F0">
        <w:t xml:space="preserve">  Funds for these </w:t>
      </w:r>
      <w:r w:rsidR="00CB567E">
        <w:t xml:space="preserve">Audio/Video </w:t>
      </w:r>
      <w:r w:rsidR="000D1E61">
        <w:t>upgrades</w:t>
      </w:r>
      <w:r w:rsidRPr="009054F0">
        <w:t xml:space="preserve"> will be taken from the 201</w:t>
      </w:r>
      <w:r w:rsidR="006A6655">
        <w:t>9</w:t>
      </w:r>
      <w:r w:rsidRPr="009054F0">
        <w:t xml:space="preserve"> Building Services</w:t>
      </w:r>
      <w:r w:rsidR="00D9467F">
        <w:t xml:space="preserve"> Capital Improvement</w:t>
      </w:r>
      <w:r w:rsidRPr="009054F0">
        <w:t xml:space="preserve"> budget</w:t>
      </w:r>
      <w:r w:rsidR="000D1E61">
        <w:t xml:space="preserve"> and the general fund</w:t>
      </w:r>
      <w:r w:rsidRPr="009054F0">
        <w:t>.</w:t>
      </w:r>
    </w:p>
    <w:p w:rsidR="00D9467F" w:rsidRPr="009054F0" w:rsidRDefault="00D9467F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p w:rsid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  <w:r w:rsidRPr="009054F0">
        <w:rPr>
          <w:rStyle w:val="InitialStyle"/>
          <w:rFonts w:ascii="Times New Roman" w:hAnsi="Times New Roman"/>
          <w:b/>
        </w:rPr>
        <w:t>Information System Note:</w:t>
      </w:r>
      <w:r w:rsidRPr="009054F0">
        <w:rPr>
          <w:rStyle w:val="InitialStyle"/>
          <w:rFonts w:ascii="Times New Roman" w:hAnsi="Times New Roman"/>
        </w:rPr>
        <w:t xml:space="preserve">  </w:t>
      </w:r>
      <w:r w:rsidRPr="009054F0">
        <w:t>No Information system impact.</w:t>
      </w:r>
    </w:p>
    <w:p w:rsidR="00AC4C8F" w:rsidRDefault="00AC4C8F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p w:rsidR="00AC4C8F" w:rsidRDefault="00AC4C8F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p w:rsidR="00AC4C8F" w:rsidRDefault="00AC4C8F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tbl>
      <w:tblPr>
        <w:tblW w:w="7958" w:type="dxa"/>
        <w:tblLook w:val="04A0" w:firstRow="1" w:lastRow="0" w:firstColumn="1" w:lastColumn="0" w:noHBand="0" w:noVBand="1"/>
      </w:tblPr>
      <w:tblGrid>
        <w:gridCol w:w="2460"/>
        <w:gridCol w:w="400"/>
        <w:gridCol w:w="348"/>
        <w:gridCol w:w="4526"/>
        <w:gridCol w:w="224"/>
      </w:tblGrid>
      <w:tr w:rsidR="00AC4C8F" w:rsidRPr="00AC4C8F" w:rsidTr="00CB567E">
        <w:trPr>
          <w:trHeight w:val="302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CB567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C4C8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Historic Courthouse </w:t>
            </w:r>
            <w:r w:rsidR="00CB567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Audio/Video</w:t>
            </w:r>
            <w:r w:rsidR="008836AD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4C8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Bid Tally</w:t>
            </w:r>
          </w:p>
        </w:tc>
      </w:tr>
      <w:tr w:rsidR="00AC4C8F" w:rsidRPr="00AC4C8F" w:rsidTr="00CB567E">
        <w:trPr>
          <w:trHeight w:val="241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AC4C8F" w:rsidRPr="00AC4C8F" w:rsidTr="00CB567E">
        <w:trPr>
          <w:trHeight w:val="241"/>
        </w:trPr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4C8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Contractor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4C8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Bid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4C8F" w:rsidRPr="00AC4C8F" w:rsidTr="00CB567E">
        <w:trPr>
          <w:trHeight w:val="241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AC4C8F" w:rsidRPr="00AC4C8F" w:rsidTr="00CB567E">
        <w:trPr>
          <w:trHeight w:val="241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CB567E" w:rsidP="00AC4C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InitialStyle"/>
                <w:rFonts w:ascii="Times New Roman" w:hAnsi="Times New Roman"/>
              </w:rPr>
              <w:t xml:space="preserve">Lifeline Audio Video </w:t>
            </w:r>
            <w:r>
              <w:rPr>
                <w:rStyle w:val="InitialStyle"/>
                <w:rFonts w:ascii="Times New Roman" w:hAnsi="Times New Roman"/>
              </w:rPr>
              <w:t>Technologies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CB567E" w:rsidRDefault="00CB567E" w:rsidP="00AC4C8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CB567E">
              <w:rPr>
                <w:b/>
                <w:sz w:val="24"/>
                <w:szCs w:val="24"/>
              </w:rPr>
              <w:t>$ 122,445</w:t>
            </w:r>
            <w:r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AC4C8F" w:rsidRPr="00AC4C8F" w:rsidTr="00CB567E">
        <w:trPr>
          <w:trHeight w:val="241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AC4C8F" w:rsidRPr="00AC4C8F" w:rsidTr="00CB567E">
        <w:trPr>
          <w:trHeight w:val="241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CB567E" w:rsidRDefault="00CB567E" w:rsidP="00AC4C8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B567E">
              <w:rPr>
                <w:color w:val="000000"/>
                <w:sz w:val="24"/>
                <w:szCs w:val="24"/>
              </w:rPr>
              <w:t>No other vendors chose to propose to this RFP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4C8F" w:rsidRPr="00AC4C8F" w:rsidTr="00CB567E">
        <w:trPr>
          <w:trHeight w:val="241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:rsidR="00AC4C8F" w:rsidRPr="009054F0" w:rsidRDefault="00AC4C8F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p w:rsidR="00A966DA" w:rsidRDefault="00A966DA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sectPr w:rsidR="00A966DA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05" w:rsidRDefault="00B62C05">
      <w:r>
        <w:separator/>
      </w:r>
    </w:p>
  </w:endnote>
  <w:endnote w:type="continuationSeparator" w:id="0">
    <w:p w:rsidR="00B62C05" w:rsidRDefault="00B6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05" w:rsidRDefault="00B62C05">
      <w:r>
        <w:separator/>
      </w:r>
    </w:p>
  </w:footnote>
  <w:footnote w:type="continuationSeparator" w:id="0">
    <w:p w:rsidR="00B62C05" w:rsidRDefault="00B6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31E85"/>
    <w:rsid w:val="0003237D"/>
    <w:rsid w:val="00037FE6"/>
    <w:rsid w:val="0007073E"/>
    <w:rsid w:val="000765C0"/>
    <w:rsid w:val="00084DF0"/>
    <w:rsid w:val="00085E59"/>
    <w:rsid w:val="000902E4"/>
    <w:rsid w:val="000951ED"/>
    <w:rsid w:val="000A7E7F"/>
    <w:rsid w:val="000B14D0"/>
    <w:rsid w:val="000B1947"/>
    <w:rsid w:val="000B352B"/>
    <w:rsid w:val="000B59DF"/>
    <w:rsid w:val="000B79FF"/>
    <w:rsid w:val="000D1E61"/>
    <w:rsid w:val="000D6495"/>
    <w:rsid w:val="000F1169"/>
    <w:rsid w:val="001001B3"/>
    <w:rsid w:val="00102C19"/>
    <w:rsid w:val="00110216"/>
    <w:rsid w:val="001319F5"/>
    <w:rsid w:val="00136D1E"/>
    <w:rsid w:val="001565D5"/>
    <w:rsid w:val="00166E27"/>
    <w:rsid w:val="001716B0"/>
    <w:rsid w:val="00187648"/>
    <w:rsid w:val="001C22B4"/>
    <w:rsid w:val="001D1E90"/>
    <w:rsid w:val="001E1D83"/>
    <w:rsid w:val="001E4083"/>
    <w:rsid w:val="00200AD2"/>
    <w:rsid w:val="00202D37"/>
    <w:rsid w:val="002219EF"/>
    <w:rsid w:val="00241D5C"/>
    <w:rsid w:val="00257F26"/>
    <w:rsid w:val="00266FFD"/>
    <w:rsid w:val="00287A8B"/>
    <w:rsid w:val="002933D1"/>
    <w:rsid w:val="0029344E"/>
    <w:rsid w:val="002C060F"/>
    <w:rsid w:val="002D1461"/>
    <w:rsid w:val="00301CB0"/>
    <w:rsid w:val="003042CA"/>
    <w:rsid w:val="00311D1A"/>
    <w:rsid w:val="003432A3"/>
    <w:rsid w:val="00355EFD"/>
    <w:rsid w:val="00373B31"/>
    <w:rsid w:val="00387ED3"/>
    <w:rsid w:val="00387FF5"/>
    <w:rsid w:val="00392070"/>
    <w:rsid w:val="00394B25"/>
    <w:rsid w:val="003D4E12"/>
    <w:rsid w:val="003D77F5"/>
    <w:rsid w:val="004043D1"/>
    <w:rsid w:val="00415408"/>
    <w:rsid w:val="0041595A"/>
    <w:rsid w:val="00423630"/>
    <w:rsid w:val="00431245"/>
    <w:rsid w:val="004344A8"/>
    <w:rsid w:val="00446B11"/>
    <w:rsid w:val="00447545"/>
    <w:rsid w:val="00475279"/>
    <w:rsid w:val="004A0AA8"/>
    <w:rsid w:val="004E1653"/>
    <w:rsid w:val="005006B3"/>
    <w:rsid w:val="00530FBF"/>
    <w:rsid w:val="0054045B"/>
    <w:rsid w:val="00550E1A"/>
    <w:rsid w:val="0059274C"/>
    <w:rsid w:val="005B5496"/>
    <w:rsid w:val="005F4649"/>
    <w:rsid w:val="00620B14"/>
    <w:rsid w:val="0064141E"/>
    <w:rsid w:val="00642552"/>
    <w:rsid w:val="00642DA3"/>
    <w:rsid w:val="00655190"/>
    <w:rsid w:val="0067139A"/>
    <w:rsid w:val="00680FBE"/>
    <w:rsid w:val="00686BBD"/>
    <w:rsid w:val="00687D1C"/>
    <w:rsid w:val="006A6655"/>
    <w:rsid w:val="006D309C"/>
    <w:rsid w:val="006E038E"/>
    <w:rsid w:val="00712121"/>
    <w:rsid w:val="00716A53"/>
    <w:rsid w:val="00721B17"/>
    <w:rsid w:val="00723D8D"/>
    <w:rsid w:val="00724305"/>
    <w:rsid w:val="00726A72"/>
    <w:rsid w:val="00747818"/>
    <w:rsid w:val="00786735"/>
    <w:rsid w:val="00790AD3"/>
    <w:rsid w:val="007910D2"/>
    <w:rsid w:val="0079516B"/>
    <w:rsid w:val="0079739E"/>
    <w:rsid w:val="007C39A5"/>
    <w:rsid w:val="007C47AD"/>
    <w:rsid w:val="007C4FFA"/>
    <w:rsid w:val="007C5181"/>
    <w:rsid w:val="007D005D"/>
    <w:rsid w:val="00840BFF"/>
    <w:rsid w:val="00876B91"/>
    <w:rsid w:val="008836AD"/>
    <w:rsid w:val="008D00C1"/>
    <w:rsid w:val="008E3A7D"/>
    <w:rsid w:val="008F402D"/>
    <w:rsid w:val="008F77A8"/>
    <w:rsid w:val="009054F0"/>
    <w:rsid w:val="00907C08"/>
    <w:rsid w:val="00930511"/>
    <w:rsid w:val="0096444E"/>
    <w:rsid w:val="00976515"/>
    <w:rsid w:val="009A6AA8"/>
    <w:rsid w:val="009D5159"/>
    <w:rsid w:val="009F1F30"/>
    <w:rsid w:val="00A00F12"/>
    <w:rsid w:val="00A03D87"/>
    <w:rsid w:val="00A144E5"/>
    <w:rsid w:val="00A20060"/>
    <w:rsid w:val="00A35072"/>
    <w:rsid w:val="00A36D4F"/>
    <w:rsid w:val="00A446AE"/>
    <w:rsid w:val="00A52BF3"/>
    <w:rsid w:val="00A608F3"/>
    <w:rsid w:val="00A671BB"/>
    <w:rsid w:val="00A749A3"/>
    <w:rsid w:val="00A959D9"/>
    <w:rsid w:val="00A95BC4"/>
    <w:rsid w:val="00A966DA"/>
    <w:rsid w:val="00AC331C"/>
    <w:rsid w:val="00AC4C8F"/>
    <w:rsid w:val="00AC5EB6"/>
    <w:rsid w:val="00AF377E"/>
    <w:rsid w:val="00AF5ACA"/>
    <w:rsid w:val="00B00C32"/>
    <w:rsid w:val="00B2634E"/>
    <w:rsid w:val="00B62C05"/>
    <w:rsid w:val="00B70FB6"/>
    <w:rsid w:val="00B73B46"/>
    <w:rsid w:val="00B7537F"/>
    <w:rsid w:val="00BD352B"/>
    <w:rsid w:val="00BE2690"/>
    <w:rsid w:val="00BE4187"/>
    <w:rsid w:val="00BF1149"/>
    <w:rsid w:val="00C0509E"/>
    <w:rsid w:val="00C1554C"/>
    <w:rsid w:val="00C26190"/>
    <w:rsid w:val="00C30082"/>
    <w:rsid w:val="00C41211"/>
    <w:rsid w:val="00C415C6"/>
    <w:rsid w:val="00C4616B"/>
    <w:rsid w:val="00C60573"/>
    <w:rsid w:val="00C860C2"/>
    <w:rsid w:val="00CB567E"/>
    <w:rsid w:val="00CD5436"/>
    <w:rsid w:val="00D300F2"/>
    <w:rsid w:val="00D40573"/>
    <w:rsid w:val="00D64C7D"/>
    <w:rsid w:val="00D9467F"/>
    <w:rsid w:val="00D95162"/>
    <w:rsid w:val="00DA5B8C"/>
    <w:rsid w:val="00DD635D"/>
    <w:rsid w:val="00DE144E"/>
    <w:rsid w:val="00E05362"/>
    <w:rsid w:val="00E0562C"/>
    <w:rsid w:val="00E27A69"/>
    <w:rsid w:val="00E353A7"/>
    <w:rsid w:val="00E76BCD"/>
    <w:rsid w:val="00E829F4"/>
    <w:rsid w:val="00E90A6B"/>
    <w:rsid w:val="00EC01ED"/>
    <w:rsid w:val="00EC3C3B"/>
    <w:rsid w:val="00EC6508"/>
    <w:rsid w:val="00ED2684"/>
    <w:rsid w:val="00F3792D"/>
    <w:rsid w:val="00F42060"/>
    <w:rsid w:val="00F44B62"/>
    <w:rsid w:val="00F76C60"/>
    <w:rsid w:val="00F77933"/>
    <w:rsid w:val="00FB27AF"/>
    <w:rsid w:val="00FD66C9"/>
    <w:rsid w:val="00FE3764"/>
    <w:rsid w:val="00FE731A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BEB9EF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7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286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Ian Crammond</cp:lastModifiedBy>
  <cp:revision>7</cp:revision>
  <cp:lastPrinted>2019-09-02T11:37:00Z</cp:lastPrinted>
  <dcterms:created xsi:type="dcterms:W3CDTF">2019-08-30T18:52:00Z</dcterms:created>
  <dcterms:modified xsi:type="dcterms:W3CDTF">2019-09-02T11:44:00Z</dcterms:modified>
</cp:coreProperties>
</file>