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8016A2">
        <w:rPr>
          <w:b/>
          <w:sz w:val="28"/>
        </w:rPr>
        <w:t>2019</w:t>
      </w:r>
    </w:p>
    <w:p w:rsidR="00A671BB" w:rsidRDefault="00A671BB">
      <w:pPr>
        <w:pStyle w:val="DefaultText"/>
        <w:jc w:val="center"/>
        <w:rPr>
          <w:b/>
        </w:rPr>
      </w:pPr>
    </w:p>
    <w:p w:rsidR="00275ECC" w:rsidRPr="00275ECC" w:rsidRDefault="00275ECC" w:rsidP="00275EC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ind w:left="6"/>
        <w:jc w:val="center"/>
        <w:rPr>
          <w:rStyle w:val="InitialStyle"/>
          <w:rFonts w:ascii="Times New Roman" w:hAnsi="Times New Roman"/>
        </w:rPr>
      </w:pPr>
      <w:r w:rsidRPr="00275ECC">
        <w:rPr>
          <w:rStyle w:val="InitialStyle"/>
          <w:rFonts w:ascii="Times New Roman" w:hAnsi="Times New Roman"/>
          <w:b/>
        </w:rPr>
        <w:t xml:space="preserve">AUTHORIZATION TO CONTRACT WITH </w:t>
      </w:r>
      <w:r w:rsidR="00692DAA">
        <w:rPr>
          <w:rStyle w:val="InitialStyle"/>
          <w:rFonts w:ascii="Times New Roman" w:hAnsi="Times New Roman"/>
          <w:b/>
        </w:rPr>
        <w:t xml:space="preserve">STRANG </w:t>
      </w:r>
      <w:r w:rsidRPr="00275ECC">
        <w:rPr>
          <w:rStyle w:val="InitialStyle"/>
          <w:rFonts w:ascii="Times New Roman" w:hAnsi="Times New Roman"/>
          <w:b/>
        </w:rPr>
        <w:t xml:space="preserve">FOR </w:t>
      </w:r>
      <w:r w:rsidR="008016A2">
        <w:rPr>
          <w:rStyle w:val="InitialStyle"/>
          <w:rFonts w:ascii="Times New Roman" w:hAnsi="Times New Roman"/>
          <w:b/>
        </w:rPr>
        <w:t>C</w:t>
      </w:r>
      <w:r w:rsidR="00E24404">
        <w:rPr>
          <w:rStyle w:val="InitialStyle"/>
          <w:rFonts w:ascii="Times New Roman" w:hAnsi="Times New Roman"/>
          <w:b/>
        </w:rPr>
        <w:t xml:space="preserve">OMPLETING A SPACE NEEDS </w:t>
      </w:r>
      <w:r w:rsidR="000A26EC">
        <w:rPr>
          <w:rStyle w:val="InitialStyle"/>
          <w:rFonts w:ascii="Times New Roman" w:hAnsi="Times New Roman"/>
          <w:b/>
        </w:rPr>
        <w:t>ASSESSMENT</w:t>
      </w:r>
      <w:r w:rsidR="00E24404">
        <w:rPr>
          <w:rStyle w:val="InitialStyle"/>
          <w:rFonts w:ascii="Times New Roman" w:hAnsi="Times New Roman"/>
          <w:b/>
        </w:rPr>
        <w:t xml:space="preserve"> OF </w:t>
      </w:r>
      <w:r w:rsidR="000A26EC">
        <w:rPr>
          <w:rStyle w:val="InitialStyle"/>
          <w:rFonts w:ascii="Times New Roman" w:hAnsi="Times New Roman"/>
          <w:b/>
        </w:rPr>
        <w:t xml:space="preserve">THE </w:t>
      </w:r>
      <w:r w:rsidR="00E24404">
        <w:rPr>
          <w:rStyle w:val="InitialStyle"/>
          <w:rFonts w:ascii="Times New Roman" w:hAnsi="Times New Roman"/>
          <w:b/>
        </w:rPr>
        <w:t>COURTHOUSE, REEDSBURG HUMAN SERVICES, AND WEST SQUARE ADMINISTRATION</w:t>
      </w:r>
      <w:r>
        <w:rPr>
          <w:rStyle w:val="InitialStyle"/>
          <w:rFonts w:ascii="Times New Roman" w:hAnsi="Times New Roman"/>
          <w:b/>
        </w:rPr>
        <w:t xml:space="preserve"> FACILITIES</w:t>
      </w:r>
    </w:p>
    <w:p w:rsidR="00257F26" w:rsidRPr="00723D8D" w:rsidRDefault="00AA6258" w:rsidP="000A26EC">
      <w:pPr>
        <w:pStyle w:val="DefaultText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3432810</wp:posOffset>
                </wp:positionV>
                <wp:extent cx="5913120" cy="440690"/>
                <wp:effectExtent l="0" t="0" r="11430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C6B8D" w:rsidRDefault="00D300F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6B8D">
                              <w:rPr>
                                <w:b/>
                                <w:sz w:val="24"/>
                                <w:szCs w:val="24"/>
                              </w:rPr>
                              <w:t>Fiscal Impact:</w:t>
                            </w:r>
                            <w:r w:rsidR="001E4083" w:rsidRPr="003C6B8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[  ] </w:t>
                            </w:r>
                            <w:r w:rsidRPr="003C6B8D">
                              <w:rPr>
                                <w:b/>
                                <w:sz w:val="24"/>
                                <w:szCs w:val="24"/>
                              </w:rPr>
                              <w:t>None</w:t>
                            </w:r>
                            <w:r w:rsidR="003D77F5" w:rsidRPr="003C6B8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[</w:t>
                            </w:r>
                            <w:r w:rsidR="006F4CF3" w:rsidRPr="003C6B8D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="001E4083" w:rsidRPr="003C6B8D">
                              <w:rPr>
                                <w:b/>
                                <w:sz w:val="24"/>
                                <w:szCs w:val="24"/>
                              </w:rPr>
                              <w:t>] Budgeted E</w:t>
                            </w:r>
                            <w:r w:rsidR="003D4E12" w:rsidRPr="003C6B8D">
                              <w:rPr>
                                <w:b/>
                                <w:sz w:val="24"/>
                                <w:szCs w:val="24"/>
                              </w:rPr>
                              <w:t>xpenditure    [</w:t>
                            </w:r>
                            <w:r w:rsidR="001D03FF" w:rsidRPr="003C6B8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70E40" w:rsidRPr="003C6B8D">
                              <w:rPr>
                                <w:b/>
                                <w:sz w:val="24"/>
                                <w:szCs w:val="24"/>
                              </w:rPr>
                              <w:t>]</w:t>
                            </w:r>
                            <w:r w:rsidR="003D4E12" w:rsidRPr="003C6B8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70.3pt;width:465.6pt;height:34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">
                <v:textbox>
                  <w:txbxContent>
                    <w:p w:rsidR="001E4083" w:rsidRPr="003C6B8D" w:rsidRDefault="00D300F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C6B8D">
                        <w:rPr>
                          <w:b/>
                          <w:sz w:val="24"/>
                          <w:szCs w:val="24"/>
                        </w:rPr>
                        <w:t>Fiscal Impact:</w:t>
                      </w:r>
                      <w:r w:rsidR="001E4083" w:rsidRPr="003C6B8D">
                        <w:rPr>
                          <w:b/>
                          <w:sz w:val="24"/>
                          <w:szCs w:val="24"/>
                        </w:rPr>
                        <w:t xml:space="preserve"> [  ] </w:t>
                      </w:r>
                      <w:r w:rsidRPr="003C6B8D">
                        <w:rPr>
                          <w:b/>
                          <w:sz w:val="24"/>
                          <w:szCs w:val="24"/>
                        </w:rPr>
                        <w:t>None</w:t>
                      </w:r>
                      <w:r w:rsidR="003D77F5" w:rsidRPr="003C6B8D">
                        <w:rPr>
                          <w:b/>
                          <w:sz w:val="24"/>
                          <w:szCs w:val="24"/>
                        </w:rPr>
                        <w:t xml:space="preserve">   [</w:t>
                      </w:r>
                      <w:r w:rsidR="006F4CF3" w:rsidRPr="003C6B8D"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r w:rsidR="001E4083" w:rsidRPr="003C6B8D">
                        <w:rPr>
                          <w:b/>
                          <w:sz w:val="24"/>
                          <w:szCs w:val="24"/>
                        </w:rPr>
                        <w:t>] Budgeted E</w:t>
                      </w:r>
                      <w:r w:rsidR="003D4E12" w:rsidRPr="003C6B8D">
                        <w:rPr>
                          <w:b/>
                          <w:sz w:val="24"/>
                          <w:szCs w:val="24"/>
                        </w:rPr>
                        <w:t>xpenditure    [</w:t>
                      </w:r>
                      <w:r w:rsidR="001D03FF" w:rsidRPr="003C6B8D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F70E40" w:rsidRPr="003C6B8D">
                        <w:rPr>
                          <w:b/>
                          <w:sz w:val="24"/>
                          <w:szCs w:val="24"/>
                        </w:rPr>
                        <w:t>]</w:t>
                      </w:r>
                      <w:r w:rsidR="003D4E12" w:rsidRPr="003C6B8D">
                        <w:rPr>
                          <w:b/>
                          <w:sz w:val="24"/>
                          <w:szCs w:val="24"/>
                        </w:rPr>
                        <w:t xml:space="preserve"> Not Budgeted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6F82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315595</wp:posOffset>
                </wp:positionV>
                <wp:extent cx="5913120" cy="312420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C6B8D" w:rsidRDefault="001E4083" w:rsidP="00FF57C1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7651D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Background:</w:t>
                            </w:r>
                            <w:r w:rsidRPr="003C6B8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77F5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Sauk County </w:t>
                            </w:r>
                            <w:r w:rsidR="00B53936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owns and maintains</w:t>
                            </w:r>
                            <w:r w:rsidR="00110216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1816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nume</w:t>
                            </w:r>
                            <w:r w:rsidR="00A127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rous facilities throughout the C</w:t>
                            </w:r>
                            <w:r w:rsidR="00E01816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ounty that </w:t>
                            </w:r>
                            <w:r w:rsidR="007974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house all the services and departments of the county</w:t>
                            </w:r>
                            <w:r w:rsidR="004043D1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1D1E90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974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 space needs study was conducted for the West Square Administration building in 2012 prior to a remodeling project that took place in 2013.  </w:t>
                            </w:r>
                            <w:r w:rsidR="00E46E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Many</w:t>
                            </w:r>
                            <w:r w:rsidR="00A127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7974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ounty</w:t>
                            </w:r>
                            <w:r w:rsidR="00E46E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departments are</w:t>
                            </w:r>
                            <w:r w:rsidR="007974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transforming</w:t>
                            </w:r>
                            <w:r w:rsidR="00E46E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S</w:t>
                            </w:r>
                            <w:r w:rsidR="007974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ome departments </w:t>
                            </w:r>
                            <w:r w:rsidR="00686F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are growing</w:t>
                            </w:r>
                            <w:r w:rsidR="007974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and others are reducing as technology evolve</w:t>
                            </w:r>
                            <w:r w:rsidR="00A127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s.  The C</w:t>
                            </w:r>
                            <w:r w:rsidR="00E2440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ounty</w:t>
                            </w:r>
                            <w:r w:rsidR="00E46E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currently</w:t>
                            </w:r>
                            <w:r w:rsidR="00E2440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does not have a plan for expansion of office space</w:t>
                            </w:r>
                            <w:r w:rsidR="00E46E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E2440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or how to</w:t>
                            </w:r>
                            <w:r w:rsidR="00E46E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better</w:t>
                            </w:r>
                            <w:r w:rsidR="00E2440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utilize current vacant spaces.  Through various meetings</w:t>
                            </w:r>
                            <w:r w:rsidR="00E46E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with departments and staff, several</w:t>
                            </w:r>
                            <w:r w:rsidR="00E2440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ideas of sharing offices for staff that are out in the field regularly, and telecommutin</w:t>
                            </w:r>
                            <w:r w:rsidR="00E46E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 as technology evolves have</w:t>
                            </w:r>
                            <w:r w:rsidR="00E2440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been discussed as ways to better utilize the spaces in county buildings without a major overhaul to the</w:t>
                            </w:r>
                            <w:r w:rsidR="00E46E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identified</w:t>
                            </w:r>
                            <w:r w:rsidR="00E2440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facilities.  A Request for Pro</w:t>
                            </w:r>
                            <w:r w:rsidR="00A1271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posal was drafted to study the C</w:t>
                            </w:r>
                            <w:r w:rsidR="00E2440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ounty’s </w:t>
                            </w:r>
                            <w:r w:rsidR="006D7B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current space needs</w:t>
                            </w:r>
                            <w:r w:rsidR="00E46E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and</w:t>
                            </w:r>
                            <w:r w:rsidR="00517D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determine how</w:t>
                            </w:r>
                            <w:r w:rsidR="006D7B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="00517D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space</w:t>
                            </w:r>
                            <w:r w:rsidR="00E2440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can </w:t>
                            </w:r>
                            <w:r w:rsidR="00CB73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 better utilized</w:t>
                            </w:r>
                            <w:r w:rsidR="00517D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currently an</w:t>
                            </w:r>
                            <w:r w:rsidR="00E46E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="00517D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in the future without major</w:t>
                            </w:r>
                            <w:r w:rsidR="00E46E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building</w:t>
                            </w:r>
                            <w:r w:rsidR="00517D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construction.  Each p</w:t>
                            </w:r>
                            <w:r w:rsidR="00E46E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roposer was </w:t>
                            </w:r>
                            <w:r w:rsidR="00517D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asked to provide a separate cost for studying each facility and an estimated reimbursable cost. </w:t>
                            </w:r>
                            <w:r w:rsidR="00692D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Five</w:t>
                            </w:r>
                            <w:r w:rsidR="00517D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7DE2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proposals responding to the Space Needs Assessment were received.  The </w:t>
                            </w:r>
                            <w:r w:rsidR="00686F82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Property and Insurance Committee, </w:t>
                            </w:r>
                            <w:r w:rsidR="00517DE2">
                              <w:rPr>
                                <w:rStyle w:val="InitialStyle"/>
                                <w:rFonts w:ascii="Times New Roman" w:hAnsi="Times New Roman"/>
                              </w:rPr>
                              <w:t>Administrative Coordinator</w:t>
                            </w:r>
                            <w:r w:rsidR="00686F82">
                              <w:rPr>
                                <w:rStyle w:val="InitialStyle"/>
                                <w:rFonts w:ascii="Times New Roman" w:hAnsi="Times New Roman"/>
                              </w:rPr>
                              <w:t>,</w:t>
                            </w:r>
                            <w:r w:rsidR="00517DE2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and Building Services staff have </w:t>
                            </w:r>
                            <w:r w:rsidR="0015320E">
                              <w:rPr>
                                <w:rStyle w:val="InitialStyle"/>
                                <w:rFonts w:ascii="Times New Roman" w:hAnsi="Times New Roman"/>
                              </w:rPr>
                              <w:t>reviewed the</w:t>
                            </w:r>
                            <w:r w:rsidR="00517DE2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proposals received and recommend</w:t>
                            </w:r>
                            <w:r w:rsidR="00863E1D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to contract with</w:t>
                            </w:r>
                            <w:r w:rsidR="00692DAA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Strang </w:t>
                            </w:r>
                            <w:r w:rsidR="0015320E">
                              <w:rPr>
                                <w:rStyle w:val="InitialStyle"/>
                                <w:rFonts w:ascii="Times New Roman" w:hAnsi="Times New Roman"/>
                              </w:rPr>
                              <w:t>for</w:t>
                            </w:r>
                            <w:r w:rsidR="00863E1D">
                              <w:rPr>
                                <w:rStyle w:val="InitialStyle"/>
                                <w:rFonts w:ascii="Times New Roman" w:hAnsi="Times New Roman"/>
                              </w:rPr>
                              <w:t xml:space="preserve"> the Space Needs Assessment at the identified Sauk county facilities.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75pt;margin-top:24.85pt;width:465.6pt;height:24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">
                <v:textbox>
                  <w:txbxContent>
                    <w:p w:rsidR="001E4083" w:rsidRPr="003C6B8D" w:rsidRDefault="001E4083" w:rsidP="00FF57C1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7651D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Background:</w:t>
                      </w:r>
                      <w:r w:rsidRPr="003C6B8D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3D77F5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Sauk County </w:t>
                      </w:r>
                      <w:r w:rsidR="00B53936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owns and maintains</w:t>
                      </w:r>
                      <w:r w:rsidR="00110216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E01816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nume</w:t>
                      </w:r>
                      <w:r w:rsidR="00A127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rous facilities throughout the C</w:t>
                      </w:r>
                      <w:r w:rsidR="00E01816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ounty that </w:t>
                      </w:r>
                      <w:r w:rsidR="0079742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house all the services and departments of the county</w:t>
                      </w:r>
                      <w:r w:rsidR="004043D1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1D1E90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 w:rsidR="0079742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 space needs study was conducted for the West Square Administration building in 2012 prior to a remodeling project that took place in 2013.  </w:t>
                      </w:r>
                      <w:r w:rsidR="00E46E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Many</w:t>
                      </w:r>
                      <w:r w:rsidR="00A127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</w:t>
                      </w:r>
                      <w:r w:rsidR="0079742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ounty</w:t>
                      </w:r>
                      <w:r w:rsidR="00E46E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departments are</w:t>
                      </w:r>
                      <w:r w:rsidR="0079742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transforming</w:t>
                      </w:r>
                      <w:r w:rsidR="00E46E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 S</w:t>
                      </w:r>
                      <w:r w:rsidR="0079742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ome departments </w:t>
                      </w:r>
                      <w:r w:rsidR="00686F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are growing</w:t>
                      </w:r>
                      <w:r w:rsidR="0079742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and others are reducing as technology evolve</w:t>
                      </w:r>
                      <w:r w:rsidR="00A127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s.  The C</w:t>
                      </w:r>
                      <w:r w:rsidR="00E2440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ounty</w:t>
                      </w:r>
                      <w:r w:rsidR="00E46E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currently</w:t>
                      </w:r>
                      <w:r w:rsidR="00E2440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does not have a plan for expansion of office space</w:t>
                      </w:r>
                      <w:r w:rsidR="00E46E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="00E2440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or how to</w:t>
                      </w:r>
                      <w:r w:rsidR="00E46E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better</w:t>
                      </w:r>
                      <w:r w:rsidR="00E2440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utilize current vacant spaces.  Through various meetings</w:t>
                      </w:r>
                      <w:r w:rsidR="00E46E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with departments and staff, several</w:t>
                      </w:r>
                      <w:r w:rsidR="00E2440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ideas of sharing offices for staff that are out in the field regularly, and telecommutin</w:t>
                      </w:r>
                      <w:r w:rsidR="00E46E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 as technology evolves have</w:t>
                      </w:r>
                      <w:r w:rsidR="00E2440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been discussed as ways to better utilize the spaces in county buildings without a major overhaul to the</w:t>
                      </w:r>
                      <w:r w:rsidR="00E46E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identified</w:t>
                      </w:r>
                      <w:r w:rsidR="00E2440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facilities.  A Request for Pro</w:t>
                      </w:r>
                      <w:r w:rsidR="00A1271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posal was drafted to study the C</w:t>
                      </w:r>
                      <w:r w:rsidR="00E2440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ounty’s </w:t>
                      </w:r>
                      <w:r w:rsidR="006D7B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current space needs</w:t>
                      </w:r>
                      <w:r w:rsidR="00E46E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and</w:t>
                      </w:r>
                      <w:r w:rsidR="00517D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determine how</w:t>
                      </w:r>
                      <w:r w:rsidR="006D7B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the</w:t>
                      </w:r>
                      <w:r w:rsidR="00517D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space</w:t>
                      </w:r>
                      <w:r w:rsidR="00E2440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can </w:t>
                      </w:r>
                      <w:r w:rsidR="00CB73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be better utilized</w:t>
                      </w:r>
                      <w:r w:rsidR="00517D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currently an</w:t>
                      </w:r>
                      <w:r w:rsidR="00E46E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 w:rsidR="00517D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in the future without major</w:t>
                      </w:r>
                      <w:r w:rsidR="00E46E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building</w:t>
                      </w:r>
                      <w:r w:rsidR="00517D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construction.  Each p</w:t>
                      </w:r>
                      <w:r w:rsidR="00E46E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roposer was </w:t>
                      </w:r>
                      <w:r w:rsidR="00517D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asked to provide a separate cost for studying each facility and an estimated reimbursable cost. </w:t>
                      </w:r>
                      <w:r w:rsidR="00692D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Five</w:t>
                      </w:r>
                      <w:r w:rsidR="00517D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517DE2">
                        <w:rPr>
                          <w:rStyle w:val="InitialStyle"/>
                          <w:rFonts w:ascii="Times New Roman" w:hAnsi="Times New Roman"/>
                        </w:rPr>
                        <w:t xml:space="preserve">proposals responding to the Space Needs Assessment were received.  The </w:t>
                      </w:r>
                      <w:r w:rsidR="00686F82">
                        <w:rPr>
                          <w:rStyle w:val="InitialStyle"/>
                          <w:rFonts w:ascii="Times New Roman" w:hAnsi="Times New Roman"/>
                        </w:rPr>
                        <w:t xml:space="preserve">Property and Insurance Committee, </w:t>
                      </w:r>
                      <w:r w:rsidR="00517DE2">
                        <w:rPr>
                          <w:rStyle w:val="InitialStyle"/>
                          <w:rFonts w:ascii="Times New Roman" w:hAnsi="Times New Roman"/>
                        </w:rPr>
                        <w:t>Administrative Coordinator</w:t>
                      </w:r>
                      <w:r w:rsidR="00686F82">
                        <w:rPr>
                          <w:rStyle w:val="InitialStyle"/>
                          <w:rFonts w:ascii="Times New Roman" w:hAnsi="Times New Roman"/>
                        </w:rPr>
                        <w:t>,</w:t>
                      </w:r>
                      <w:r w:rsidR="00517DE2">
                        <w:rPr>
                          <w:rStyle w:val="InitialStyle"/>
                          <w:rFonts w:ascii="Times New Roman" w:hAnsi="Times New Roman"/>
                        </w:rPr>
                        <w:t xml:space="preserve"> and Building Services staff have </w:t>
                      </w:r>
                      <w:r w:rsidR="0015320E">
                        <w:rPr>
                          <w:rStyle w:val="InitialStyle"/>
                          <w:rFonts w:ascii="Times New Roman" w:hAnsi="Times New Roman"/>
                        </w:rPr>
                        <w:t>reviewed the</w:t>
                      </w:r>
                      <w:r w:rsidR="00517DE2">
                        <w:rPr>
                          <w:rStyle w:val="InitialStyle"/>
                          <w:rFonts w:ascii="Times New Roman" w:hAnsi="Times New Roman"/>
                        </w:rPr>
                        <w:t xml:space="preserve"> proposals received and recommend</w:t>
                      </w:r>
                      <w:r w:rsidR="00863E1D">
                        <w:rPr>
                          <w:rStyle w:val="InitialStyle"/>
                          <w:rFonts w:ascii="Times New Roman" w:hAnsi="Times New Roman"/>
                        </w:rPr>
                        <w:t xml:space="preserve"> to contract with</w:t>
                      </w:r>
                      <w:r w:rsidR="00692DAA">
                        <w:rPr>
                          <w:rStyle w:val="InitialStyle"/>
                          <w:rFonts w:ascii="Times New Roman" w:hAnsi="Times New Roman"/>
                        </w:rPr>
                        <w:t xml:space="preserve"> Strang </w:t>
                      </w:r>
                      <w:r w:rsidR="0015320E">
                        <w:rPr>
                          <w:rStyle w:val="InitialStyle"/>
                          <w:rFonts w:ascii="Times New Roman" w:hAnsi="Times New Roman"/>
                        </w:rPr>
                        <w:t>for</w:t>
                      </w:r>
                      <w:r w:rsidR="00863E1D">
                        <w:rPr>
                          <w:rStyle w:val="InitialStyle"/>
                          <w:rFonts w:ascii="Times New Roman" w:hAnsi="Times New Roman"/>
                        </w:rPr>
                        <w:t xml:space="preserve"> the Space Needs Assessment at the identified Sauk county facilities.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139A" w:rsidRPr="00FF57C1" w:rsidRDefault="009D5159" w:rsidP="00FF57C1">
      <w:pPr>
        <w:pStyle w:val="DefaultText"/>
        <w:rPr>
          <w:b/>
          <w:color w:val="0070C0"/>
        </w:rPr>
      </w:pPr>
      <w:r>
        <w:tab/>
      </w:r>
    </w:p>
    <w:p w:rsidR="009D5159" w:rsidRPr="00A671BB" w:rsidRDefault="009D5159">
      <w:pPr>
        <w:pStyle w:val="DefaultText"/>
        <w:rPr>
          <w:sz w:val="12"/>
        </w:rPr>
      </w:pPr>
    </w:p>
    <w:p w:rsidR="006D309C" w:rsidRDefault="009D5159" w:rsidP="003D77F5">
      <w:pPr>
        <w:pStyle w:val="DefaultText"/>
        <w:jc w:val="both"/>
      </w:pPr>
      <w:r>
        <w:tab/>
      </w:r>
      <w:r w:rsidR="003D77F5" w:rsidRPr="007F762C">
        <w:rPr>
          <w:b/>
        </w:rPr>
        <w:t>NOW, THEREFORE, BE IT RESOLVED</w:t>
      </w:r>
      <w:r w:rsidR="007D7BAE">
        <w:rPr>
          <w:b/>
        </w:rPr>
        <w:t xml:space="preserve"> </w:t>
      </w:r>
      <w:r w:rsidR="007D7BAE">
        <w:t>that</w:t>
      </w:r>
      <w:r w:rsidR="003D77F5" w:rsidRPr="007F762C">
        <w:t xml:space="preserve"> the Sauk County Board of Supervisors, met in regular session, </w:t>
      </w:r>
      <w:r w:rsidR="004043D1">
        <w:t xml:space="preserve">hereby authorizes </w:t>
      </w:r>
      <w:r w:rsidR="003D77F5" w:rsidRPr="007F762C">
        <w:t xml:space="preserve">the </w:t>
      </w:r>
      <w:r w:rsidR="00863E1D">
        <w:t>Administrative Coordinator</w:t>
      </w:r>
      <w:r w:rsidR="004043D1">
        <w:t xml:space="preserve"> </w:t>
      </w:r>
      <w:r w:rsidR="003D77F5" w:rsidRPr="007F762C">
        <w:t xml:space="preserve">to </w:t>
      </w:r>
      <w:r w:rsidR="002933D1">
        <w:t xml:space="preserve">contract with </w:t>
      </w:r>
      <w:r w:rsidR="00692DAA">
        <w:t xml:space="preserve">Strang </w:t>
      </w:r>
      <w:r w:rsidR="00D4253D" w:rsidRPr="002F5B52">
        <w:t xml:space="preserve">for the </w:t>
      </w:r>
      <w:r w:rsidR="00A12718">
        <w:t>Space N</w:t>
      </w:r>
      <w:r w:rsidR="00863E1D">
        <w:t>eeds Assessment</w:t>
      </w:r>
      <w:r w:rsidR="0040512E">
        <w:t xml:space="preserve"> for the </w:t>
      </w:r>
      <w:r w:rsidR="00686F82">
        <w:t>respective</w:t>
      </w:r>
      <w:r w:rsidR="00996377">
        <w:t xml:space="preserve"> buildings</w:t>
      </w:r>
      <w:r w:rsidR="0040512E">
        <w:t xml:space="preserve"> </w:t>
      </w:r>
      <w:r w:rsidR="00863E1D">
        <w:t xml:space="preserve">at a cost of </w:t>
      </w:r>
      <w:r w:rsidR="00692DAA">
        <w:t>$45,000</w:t>
      </w:r>
      <w:r w:rsidR="00863E1D">
        <w:t>.</w:t>
      </w:r>
    </w:p>
    <w:p w:rsidR="00A959D9" w:rsidRDefault="00A959D9" w:rsidP="001001B3">
      <w:pPr>
        <w:pStyle w:val="DefaultText"/>
      </w:pP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 xml:space="preserve">For consideration by the Sauk County Board of Supervisors on </w:t>
      </w:r>
      <w:r w:rsidR="00863E1D">
        <w:rPr>
          <w:rStyle w:val="InitialStyle"/>
          <w:rFonts w:ascii="Times New Roman" w:hAnsi="Times New Roman"/>
          <w:szCs w:val="24"/>
        </w:rPr>
        <w:t>January 15</w:t>
      </w:r>
      <w:r w:rsidR="002F5B52" w:rsidRPr="002F5B52">
        <w:rPr>
          <w:rStyle w:val="InitialStyle"/>
          <w:rFonts w:ascii="Times New Roman" w:hAnsi="Times New Roman"/>
          <w:szCs w:val="24"/>
          <w:vertAlign w:val="superscript"/>
        </w:rPr>
        <w:t>th</w:t>
      </w:r>
      <w:r w:rsidR="00E353A7">
        <w:rPr>
          <w:rStyle w:val="InitialStyle"/>
          <w:rFonts w:ascii="Times New Roman" w:hAnsi="Times New Roman"/>
          <w:szCs w:val="24"/>
        </w:rPr>
        <w:t>, 201</w:t>
      </w:r>
      <w:r w:rsidR="00863E1D">
        <w:rPr>
          <w:rStyle w:val="InitialStyle"/>
          <w:rFonts w:ascii="Times New Roman" w:hAnsi="Times New Roman"/>
          <w:szCs w:val="24"/>
        </w:rPr>
        <w:t>9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9D5159" w:rsidRPr="00A671BB" w:rsidRDefault="009D5159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6D309C" w:rsidRPr="001001B3" w:rsidRDefault="006D309C" w:rsidP="00A671BB">
      <w:pPr>
        <w:pStyle w:val="DefaultText"/>
        <w:rPr>
          <w:b/>
          <w:bCs/>
          <w:sz w:val="16"/>
          <w:szCs w:val="16"/>
        </w:rPr>
      </w:pPr>
    </w:p>
    <w:p w:rsidR="006D309C" w:rsidRDefault="006D309C" w:rsidP="00447545">
      <w:pPr>
        <w:pStyle w:val="NoSpacing"/>
        <w:rPr>
          <w:rFonts w:ascii="Times New Roman" w:hAnsi="Times New Roman"/>
          <w:b/>
        </w:rPr>
      </w:pPr>
    </w:p>
    <w:p w:rsidR="00447545" w:rsidRDefault="00B2634E" w:rsidP="00447545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PROPERTY AND INSURANCE</w:t>
      </w:r>
      <w:r w:rsidR="00447545">
        <w:rPr>
          <w:rFonts w:ascii="Times New Roman" w:hAnsi="Times New Roman"/>
          <w:b/>
        </w:rPr>
        <w:t xml:space="preserve"> COMMITTEE</w:t>
      </w:r>
    </w:p>
    <w:p w:rsidR="00353D00" w:rsidRDefault="00353D00" w:rsidP="00353D00">
      <w:pPr>
        <w:pStyle w:val="NoSpacing"/>
        <w:rPr>
          <w:rFonts w:ascii="Times New Roman" w:hAnsi="Times New Roman"/>
          <w:caps/>
        </w:rPr>
      </w:pPr>
    </w:p>
    <w:p w:rsidR="00353D00" w:rsidRDefault="00353D00" w:rsidP="00353D00">
      <w:pPr>
        <w:pStyle w:val="NoSpacing"/>
        <w:rPr>
          <w:rFonts w:ascii="Times New Roman" w:hAnsi="Times New Roman"/>
          <w:caps/>
        </w:rPr>
      </w:pPr>
    </w:p>
    <w:p w:rsidR="00447545" w:rsidRPr="00353D00" w:rsidRDefault="00447545" w:rsidP="00353D00">
      <w:pPr>
        <w:pStyle w:val="NoSpacing"/>
        <w:rPr>
          <w:rFonts w:ascii="Times New Roman" w:hAnsi="Times New Roman"/>
          <w:caps/>
          <w:u w:val="single"/>
        </w:rPr>
      </w:pPr>
      <w:r w:rsidRPr="002F5B52">
        <w:rPr>
          <w:rFonts w:ascii="Times New Roman" w:hAnsi="Times New Roman"/>
          <w:caps/>
          <w:u w:val="single"/>
        </w:rPr>
        <w:t>___________________________________</w:t>
      </w:r>
      <w:r w:rsidR="00353D00">
        <w:rPr>
          <w:rFonts w:ascii="Times New Roman" w:hAnsi="Times New Roman"/>
          <w:caps/>
        </w:rPr>
        <w:tab/>
      </w:r>
      <w:r w:rsidR="00353D00">
        <w:rPr>
          <w:rFonts w:ascii="Times New Roman" w:hAnsi="Times New Roman"/>
          <w:caps/>
        </w:rPr>
        <w:tab/>
      </w:r>
      <w:r w:rsidR="00353D00"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</w:p>
    <w:p w:rsidR="00447545" w:rsidRDefault="00447545" w:rsidP="00447545">
      <w:pPr>
        <w:pStyle w:val="NoSpacing"/>
        <w:rPr>
          <w:rFonts w:ascii="Times New Roman" w:hAnsi="Times New Roman"/>
          <w:caps/>
        </w:rPr>
      </w:pPr>
      <w:r w:rsidRPr="00E42550">
        <w:rPr>
          <w:rFonts w:ascii="Times New Roman" w:hAnsi="Times New Roman"/>
          <w:caps/>
        </w:rPr>
        <w:t>Scott Von Asten, chair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  <w:t>William Hambrecht</w:t>
      </w: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</w:p>
    <w:p w:rsidR="00447545" w:rsidRPr="00631697" w:rsidRDefault="00631697" w:rsidP="00447545">
      <w:pPr>
        <w:pStyle w:val="NoSpacing"/>
        <w:rPr>
          <w:rFonts w:ascii="Times New Roman" w:hAnsi="Times New Roman"/>
          <w:caps/>
          <w:u w:val="single"/>
        </w:rPr>
      </w:pP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</w:p>
    <w:p w:rsidR="00A749A3" w:rsidRDefault="00D07657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SHANE GIBSON</w:t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D40573">
        <w:rPr>
          <w:rFonts w:ascii="Times New Roman" w:hAnsi="Times New Roman"/>
          <w:caps/>
        </w:rPr>
        <w:tab/>
      </w:r>
      <w:r w:rsidR="00B2634E">
        <w:rPr>
          <w:rFonts w:ascii="Times New Roman" w:hAnsi="Times New Roman"/>
          <w:caps/>
        </w:rPr>
        <w:tab/>
        <w:t>JEAN BERLIN</w:t>
      </w:r>
    </w:p>
    <w:p w:rsidR="00A749A3" w:rsidRDefault="00A749A3" w:rsidP="00447545">
      <w:pPr>
        <w:pStyle w:val="NoSpacing"/>
        <w:rPr>
          <w:rFonts w:ascii="Times New Roman" w:hAnsi="Times New Roman"/>
          <w:caps/>
        </w:rPr>
      </w:pPr>
    </w:p>
    <w:p w:rsidR="00A749A3" w:rsidRPr="00A749A3" w:rsidRDefault="00A749A3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</w:p>
    <w:p w:rsidR="00C60573" w:rsidRPr="00863E1D" w:rsidRDefault="00D07657" w:rsidP="00620B14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</w:rPr>
        <w:t>CARL GRUBER</w:t>
      </w:r>
    </w:p>
    <w:p w:rsidR="00136E75" w:rsidRDefault="00136E75" w:rsidP="006332B9">
      <w:pPr>
        <w:pStyle w:val="NoSpacing"/>
        <w:rPr>
          <w:rFonts w:ascii="Times New Roman" w:hAnsi="Times New Roman"/>
          <w:b/>
        </w:rPr>
      </w:pPr>
    </w:p>
    <w:p w:rsidR="006332B9" w:rsidRDefault="00863E1D" w:rsidP="006332B9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RESOLUTION NO. _____ - 2019</w:t>
      </w:r>
    </w:p>
    <w:p w:rsidR="00863E1D" w:rsidRPr="00C60573" w:rsidRDefault="00863E1D" w:rsidP="006332B9">
      <w:pPr>
        <w:pStyle w:val="NoSpacing"/>
        <w:rPr>
          <w:rFonts w:ascii="Times New Roman" w:hAnsi="Times New Roman"/>
          <w:b/>
        </w:rPr>
      </w:pPr>
    </w:p>
    <w:p w:rsidR="00863E1D" w:rsidRPr="00275ECC" w:rsidRDefault="00863E1D" w:rsidP="00863E1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ind w:left="6"/>
        <w:rPr>
          <w:rStyle w:val="InitialStyle"/>
          <w:rFonts w:ascii="Times New Roman" w:hAnsi="Times New Roman"/>
        </w:rPr>
      </w:pPr>
      <w:r w:rsidRPr="00275ECC">
        <w:rPr>
          <w:rStyle w:val="InitialStyle"/>
          <w:rFonts w:ascii="Times New Roman" w:hAnsi="Times New Roman"/>
          <w:b/>
        </w:rPr>
        <w:t xml:space="preserve">AUTHORIZATION TO CONTRACT WITH </w:t>
      </w:r>
      <w:r w:rsidR="00692DAA">
        <w:rPr>
          <w:rStyle w:val="InitialStyle"/>
          <w:rFonts w:ascii="Times New Roman" w:hAnsi="Times New Roman"/>
          <w:b/>
        </w:rPr>
        <w:t xml:space="preserve">STRANG </w:t>
      </w:r>
      <w:r w:rsidRPr="00275ECC">
        <w:rPr>
          <w:rStyle w:val="InitialStyle"/>
          <w:rFonts w:ascii="Times New Roman" w:hAnsi="Times New Roman"/>
          <w:b/>
        </w:rPr>
        <w:t xml:space="preserve">FOR </w:t>
      </w:r>
      <w:r>
        <w:rPr>
          <w:rStyle w:val="InitialStyle"/>
          <w:rFonts w:ascii="Times New Roman" w:hAnsi="Times New Roman"/>
          <w:b/>
        </w:rPr>
        <w:t>COMPLETING A SPACE NEEDS STUDY OF COURTHOUSE, REEDSBURGHUMAN SERVICES, AND WEST SQUARE ADMINISTRATION FACILITIES</w:t>
      </w:r>
    </w:p>
    <w:p w:rsidR="00863E1D" w:rsidRDefault="00863E1D" w:rsidP="006332B9">
      <w:pPr>
        <w:pStyle w:val="NoSpacing"/>
        <w:rPr>
          <w:rFonts w:ascii="Times New Roman" w:hAnsi="Times New Roman"/>
          <w:b/>
        </w:rPr>
      </w:pPr>
    </w:p>
    <w:p w:rsidR="006332B9" w:rsidRDefault="006332B9" w:rsidP="006332B9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Page 2</w:t>
      </w:r>
    </w:p>
    <w:p w:rsidR="00C60573" w:rsidRDefault="00C60573" w:rsidP="00620B14">
      <w:pPr>
        <w:pStyle w:val="NoSpacing"/>
        <w:rPr>
          <w:rFonts w:ascii="Times New Roman" w:hAnsi="Times New Roman"/>
          <w:b/>
        </w:rPr>
      </w:pPr>
    </w:p>
    <w:p w:rsidR="00447545" w:rsidRPr="005205F3" w:rsidRDefault="00447545" w:rsidP="004344A8">
      <w:pPr>
        <w:pStyle w:val="NoSpacing"/>
        <w:rPr>
          <w:rFonts w:ascii="Times New Roman" w:hAnsi="Times New Roman"/>
          <w:sz w:val="24"/>
          <w:szCs w:val="24"/>
        </w:rPr>
      </w:pPr>
      <w:r w:rsidRPr="003C6B8D">
        <w:rPr>
          <w:rFonts w:ascii="Times New Roman" w:hAnsi="Times New Roman"/>
          <w:b/>
          <w:sz w:val="24"/>
          <w:szCs w:val="24"/>
        </w:rPr>
        <w:t xml:space="preserve">FISCAL NOTE: </w:t>
      </w:r>
      <w:r w:rsidR="00A12718" w:rsidRPr="005205F3">
        <w:rPr>
          <w:rFonts w:ascii="Times New Roman" w:hAnsi="Times New Roman"/>
          <w:sz w:val="24"/>
          <w:szCs w:val="24"/>
        </w:rPr>
        <w:t>The 2019 Building Services Capital Outlay budget includes $100,000 for the Space Needs Assessment</w:t>
      </w:r>
      <w:r w:rsidR="00423630" w:rsidRPr="005205F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447545" w:rsidRPr="005205F3" w:rsidRDefault="00447545" w:rsidP="005205F3"/>
    <w:p w:rsidR="003C6B8D" w:rsidRDefault="003C6B8D" w:rsidP="003C6B8D">
      <w:pPr>
        <w:rPr>
          <w:sz w:val="24"/>
          <w:szCs w:val="24"/>
        </w:rPr>
      </w:pPr>
      <w:r w:rsidRPr="009D78E4">
        <w:rPr>
          <w:b/>
          <w:sz w:val="24"/>
          <w:szCs w:val="24"/>
        </w:rPr>
        <w:t>Information System Note:</w:t>
      </w:r>
      <w:r>
        <w:rPr>
          <w:sz w:val="24"/>
          <w:szCs w:val="24"/>
        </w:rPr>
        <w:t xml:space="preserve">  </w:t>
      </w:r>
      <w:r w:rsidRPr="00BE43CD">
        <w:rPr>
          <w:sz w:val="24"/>
          <w:szCs w:val="24"/>
        </w:rPr>
        <w:t xml:space="preserve">No fiscal impact. </w:t>
      </w:r>
    </w:p>
    <w:p w:rsidR="003D64D2" w:rsidRDefault="003D64D2" w:rsidP="003C6B8D">
      <w:pPr>
        <w:rPr>
          <w:sz w:val="24"/>
          <w:szCs w:val="24"/>
        </w:rPr>
      </w:pPr>
    </w:p>
    <w:p w:rsidR="003D64D2" w:rsidRDefault="003D64D2" w:rsidP="003C6B8D">
      <w:pPr>
        <w:rPr>
          <w:sz w:val="24"/>
          <w:szCs w:val="24"/>
        </w:rPr>
      </w:pPr>
    </w:p>
    <w:p w:rsidR="001001B3" w:rsidRDefault="001001B3" w:rsidP="003C6B8D">
      <w:pPr>
        <w:pStyle w:val="NoSpacing"/>
        <w:rPr>
          <w:rFonts w:ascii="Times New Roman" w:hAnsi="Times New Roman"/>
          <w:sz w:val="20"/>
          <w:szCs w:val="20"/>
        </w:rPr>
      </w:pPr>
    </w:p>
    <w:p w:rsidR="003D64D2" w:rsidRDefault="003D64D2" w:rsidP="003C6B8D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101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9"/>
        <w:gridCol w:w="1007"/>
        <w:gridCol w:w="1451"/>
        <w:gridCol w:w="1080"/>
        <w:gridCol w:w="1080"/>
        <w:gridCol w:w="2340"/>
        <w:gridCol w:w="1440"/>
      </w:tblGrid>
      <w:tr w:rsidR="00336BA5" w:rsidTr="00A12718">
        <w:trPr>
          <w:cantSplit/>
          <w:trHeight w:hRule="exact" w:val="1423"/>
        </w:trPr>
        <w:tc>
          <w:tcPr>
            <w:tcW w:w="1749" w:type="dxa"/>
            <w:shd w:val="clear" w:color="auto" w:fill="auto"/>
            <w:vAlign w:val="center"/>
          </w:tcPr>
          <w:p w:rsidR="00336BA5" w:rsidRDefault="00336BA5" w:rsidP="00EF25E5">
            <w:pPr>
              <w:jc w:val="center"/>
            </w:pPr>
            <w:r w:rsidRPr="0065534A">
              <w:rPr>
                <w:b/>
                <w:sz w:val="28"/>
                <w:szCs w:val="28"/>
              </w:rPr>
              <w:t>COMPANY</w:t>
            </w:r>
          </w:p>
        </w:tc>
        <w:tc>
          <w:tcPr>
            <w:tcW w:w="1007" w:type="dxa"/>
          </w:tcPr>
          <w:p w:rsidR="00336BA5" w:rsidRPr="0065534A" w:rsidRDefault="00336BA5" w:rsidP="00EF25E5">
            <w:pPr>
              <w:pStyle w:val="TableText"/>
              <w:jc w:val="center"/>
              <w:rPr>
                <w:b/>
              </w:rPr>
            </w:pPr>
            <w:r w:rsidRPr="0065534A">
              <w:rPr>
                <w:b/>
              </w:rPr>
              <w:t>CH</w:t>
            </w:r>
          </w:p>
        </w:tc>
        <w:tc>
          <w:tcPr>
            <w:tcW w:w="1451" w:type="dxa"/>
          </w:tcPr>
          <w:p w:rsidR="00336BA5" w:rsidRPr="0057651D" w:rsidRDefault="00336BA5" w:rsidP="00EF25E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7651D">
              <w:rPr>
                <w:b/>
                <w:sz w:val="28"/>
                <w:szCs w:val="28"/>
                <w:highlight w:val="yellow"/>
              </w:rPr>
              <w:t>LEC</w:t>
            </w:r>
          </w:p>
          <w:p w:rsidR="0057651D" w:rsidRPr="0065534A" w:rsidRDefault="0057651D" w:rsidP="0057651D">
            <w:pPr>
              <w:pStyle w:val="Heading2"/>
            </w:pPr>
            <w:r w:rsidRPr="0057651D">
              <w:rPr>
                <w:highlight w:val="yellow"/>
              </w:rPr>
              <w:t>(Removed from Final Scope)</w:t>
            </w:r>
          </w:p>
        </w:tc>
        <w:tc>
          <w:tcPr>
            <w:tcW w:w="1080" w:type="dxa"/>
          </w:tcPr>
          <w:p w:rsidR="00336BA5" w:rsidRPr="0065534A" w:rsidRDefault="00336BA5" w:rsidP="00EF25E5">
            <w:pPr>
              <w:jc w:val="center"/>
              <w:rPr>
                <w:b/>
                <w:sz w:val="28"/>
                <w:szCs w:val="28"/>
              </w:rPr>
            </w:pPr>
            <w:r w:rsidRPr="0065534A">
              <w:rPr>
                <w:b/>
                <w:sz w:val="28"/>
                <w:szCs w:val="28"/>
              </w:rPr>
              <w:t>HSR</w:t>
            </w:r>
          </w:p>
        </w:tc>
        <w:tc>
          <w:tcPr>
            <w:tcW w:w="1080" w:type="dxa"/>
          </w:tcPr>
          <w:p w:rsidR="00336BA5" w:rsidRPr="0065534A" w:rsidRDefault="00336BA5" w:rsidP="00EF25E5">
            <w:pPr>
              <w:jc w:val="center"/>
              <w:rPr>
                <w:b/>
                <w:sz w:val="28"/>
                <w:szCs w:val="28"/>
              </w:rPr>
            </w:pPr>
            <w:r w:rsidRPr="0065534A">
              <w:rPr>
                <w:b/>
                <w:sz w:val="28"/>
                <w:szCs w:val="28"/>
              </w:rPr>
              <w:t>WS</w:t>
            </w:r>
          </w:p>
        </w:tc>
        <w:tc>
          <w:tcPr>
            <w:tcW w:w="2340" w:type="dxa"/>
            <w:vAlign w:val="center"/>
          </w:tcPr>
          <w:p w:rsidR="00336BA5" w:rsidRPr="00A12718" w:rsidRDefault="00336BA5" w:rsidP="00EF25E5">
            <w:pPr>
              <w:pStyle w:val="TableText"/>
              <w:jc w:val="center"/>
              <w:rPr>
                <w:b/>
              </w:rPr>
            </w:pPr>
            <w:r w:rsidRPr="00A12718">
              <w:rPr>
                <w:b/>
              </w:rPr>
              <w:t>ESTIMATED REIMBURSABLES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36BA5" w:rsidRPr="00F000EF" w:rsidRDefault="00336BA5" w:rsidP="00EF25E5">
            <w:pPr>
              <w:jc w:val="center"/>
              <w:rPr>
                <w:b/>
                <w:sz w:val="28"/>
                <w:szCs w:val="28"/>
              </w:rPr>
            </w:pPr>
            <w:r w:rsidRPr="00F000EF">
              <w:rPr>
                <w:b/>
                <w:sz w:val="28"/>
                <w:szCs w:val="28"/>
              </w:rPr>
              <w:t>TOTAL</w:t>
            </w:r>
          </w:p>
        </w:tc>
      </w:tr>
      <w:tr w:rsidR="00336BA5" w:rsidTr="00A12718">
        <w:trPr>
          <w:cantSplit/>
          <w:trHeight w:hRule="exact" w:val="756"/>
        </w:trPr>
        <w:tc>
          <w:tcPr>
            <w:tcW w:w="17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6BA5" w:rsidRDefault="00336BA5" w:rsidP="00EF25E5">
            <w:pPr>
              <w:pStyle w:val="TableText"/>
              <w:jc w:val="left"/>
            </w:pPr>
            <w:r>
              <w:t>DIMENSION IV</w:t>
            </w:r>
          </w:p>
        </w:tc>
        <w:tc>
          <w:tcPr>
            <w:tcW w:w="1007" w:type="dxa"/>
            <w:tcBorders>
              <w:bottom w:val="single" w:sz="4" w:space="0" w:color="000000"/>
            </w:tcBorders>
          </w:tcPr>
          <w:p w:rsidR="00336BA5" w:rsidRDefault="00336BA5" w:rsidP="00EF25E5">
            <w:pPr>
              <w:pStyle w:val="TableText"/>
              <w:spacing w:line="276" w:lineRule="auto"/>
            </w:pPr>
            <w:r>
              <w:t>$18,000</w:t>
            </w: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:rsidR="00336BA5" w:rsidRDefault="00336BA5" w:rsidP="00EF25E5">
            <w:pPr>
              <w:pStyle w:val="TableText"/>
              <w:spacing w:line="276" w:lineRule="auto"/>
            </w:pPr>
            <w:r w:rsidRPr="0057651D">
              <w:rPr>
                <w:highlight w:val="yellow"/>
              </w:rPr>
              <w:t>$16,000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336BA5" w:rsidRDefault="00336BA5" w:rsidP="00EF25E5">
            <w:pPr>
              <w:pStyle w:val="TableText"/>
              <w:spacing w:line="276" w:lineRule="auto"/>
            </w:pPr>
            <w:r>
              <w:t>$14,000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336BA5" w:rsidRDefault="00336BA5" w:rsidP="00EF25E5">
            <w:pPr>
              <w:pStyle w:val="TableText"/>
              <w:spacing w:line="276" w:lineRule="auto"/>
            </w:pPr>
            <w:r>
              <w:t>$31,000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:rsidR="00336BA5" w:rsidRDefault="00336BA5" w:rsidP="00336BA5">
            <w:pPr>
              <w:pStyle w:val="TableText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6BA5" w:rsidRDefault="0057651D" w:rsidP="00EF25E5">
            <w:pPr>
              <w:pStyle w:val="TableText"/>
              <w:spacing w:line="276" w:lineRule="auto"/>
              <w:jc w:val="center"/>
            </w:pPr>
            <w:r>
              <w:t>$63,000</w:t>
            </w:r>
          </w:p>
        </w:tc>
      </w:tr>
      <w:tr w:rsidR="00336BA5" w:rsidTr="00A12718">
        <w:trPr>
          <w:cantSplit/>
          <w:trHeight w:hRule="exact" w:val="788"/>
        </w:trPr>
        <w:tc>
          <w:tcPr>
            <w:tcW w:w="1749" w:type="dxa"/>
            <w:shd w:val="clear" w:color="auto" w:fill="FFFFFF"/>
            <w:vAlign w:val="center"/>
          </w:tcPr>
          <w:p w:rsidR="00336BA5" w:rsidRDefault="00336BA5" w:rsidP="00EF25E5">
            <w:pPr>
              <w:pStyle w:val="TableText"/>
              <w:jc w:val="left"/>
            </w:pPr>
            <w:r>
              <w:t>JEWELL</w:t>
            </w:r>
          </w:p>
        </w:tc>
        <w:tc>
          <w:tcPr>
            <w:tcW w:w="1007" w:type="dxa"/>
            <w:shd w:val="clear" w:color="auto" w:fill="FFFFFF"/>
          </w:tcPr>
          <w:p w:rsidR="00336BA5" w:rsidRDefault="00336BA5" w:rsidP="00EF25E5">
            <w:pPr>
              <w:pStyle w:val="TableText"/>
              <w:jc w:val="center"/>
            </w:pPr>
            <w:r>
              <w:t>$20,000</w:t>
            </w:r>
          </w:p>
        </w:tc>
        <w:tc>
          <w:tcPr>
            <w:tcW w:w="1451" w:type="dxa"/>
            <w:shd w:val="clear" w:color="auto" w:fill="FFFFFF"/>
          </w:tcPr>
          <w:p w:rsidR="00336BA5" w:rsidRDefault="00336BA5" w:rsidP="00EF25E5">
            <w:pPr>
              <w:pStyle w:val="TableText"/>
              <w:jc w:val="center"/>
            </w:pPr>
            <w:r>
              <w:t>NOT IN BID</w:t>
            </w:r>
          </w:p>
        </w:tc>
        <w:tc>
          <w:tcPr>
            <w:tcW w:w="1080" w:type="dxa"/>
            <w:shd w:val="clear" w:color="auto" w:fill="FFFFFF"/>
          </w:tcPr>
          <w:p w:rsidR="00336BA5" w:rsidRDefault="00336BA5" w:rsidP="00EF25E5">
            <w:pPr>
              <w:pStyle w:val="TableText"/>
              <w:jc w:val="center"/>
            </w:pPr>
            <w:r>
              <w:t>$17,000</w:t>
            </w:r>
          </w:p>
        </w:tc>
        <w:tc>
          <w:tcPr>
            <w:tcW w:w="1080" w:type="dxa"/>
            <w:shd w:val="clear" w:color="auto" w:fill="FFFFFF"/>
          </w:tcPr>
          <w:p w:rsidR="00336BA5" w:rsidRDefault="00336BA5" w:rsidP="00EF25E5">
            <w:pPr>
              <w:pStyle w:val="TableText"/>
              <w:jc w:val="center"/>
            </w:pPr>
            <w:r>
              <w:t>$25,000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336BA5" w:rsidRDefault="00336BA5" w:rsidP="00EF25E5">
            <w:pPr>
              <w:pStyle w:val="TableText"/>
              <w:jc w:val="center"/>
            </w:pPr>
            <w:r>
              <w:t>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36BA5" w:rsidRDefault="00336BA5" w:rsidP="00EF25E5">
            <w:pPr>
              <w:pStyle w:val="TableText"/>
              <w:jc w:val="center"/>
            </w:pPr>
            <w:r>
              <w:t>$62,000</w:t>
            </w:r>
          </w:p>
        </w:tc>
      </w:tr>
      <w:tr w:rsidR="00336BA5" w:rsidTr="00A12718">
        <w:trPr>
          <w:cantSplit/>
          <w:trHeight w:hRule="exact" w:val="756"/>
        </w:trPr>
        <w:tc>
          <w:tcPr>
            <w:tcW w:w="1749" w:type="dxa"/>
            <w:shd w:val="clear" w:color="auto" w:fill="auto"/>
            <w:vAlign w:val="center"/>
          </w:tcPr>
          <w:p w:rsidR="00336BA5" w:rsidRDefault="00336BA5" w:rsidP="00EF25E5">
            <w:pPr>
              <w:pStyle w:val="TableText"/>
              <w:jc w:val="left"/>
            </w:pPr>
            <w:r>
              <w:t>DAVID MAYO</w:t>
            </w:r>
          </w:p>
        </w:tc>
        <w:tc>
          <w:tcPr>
            <w:tcW w:w="1007" w:type="dxa"/>
          </w:tcPr>
          <w:p w:rsidR="00336BA5" w:rsidRDefault="00336BA5" w:rsidP="00EF25E5">
            <w:pPr>
              <w:pStyle w:val="TableText"/>
              <w:jc w:val="center"/>
            </w:pPr>
            <w:r>
              <w:t>$13,000</w:t>
            </w:r>
          </w:p>
        </w:tc>
        <w:tc>
          <w:tcPr>
            <w:tcW w:w="1451" w:type="dxa"/>
          </w:tcPr>
          <w:p w:rsidR="00336BA5" w:rsidRDefault="00336BA5" w:rsidP="00EF25E5">
            <w:pPr>
              <w:pStyle w:val="TableText"/>
              <w:jc w:val="center"/>
            </w:pPr>
            <w:r w:rsidRPr="0057651D">
              <w:rPr>
                <w:highlight w:val="yellow"/>
              </w:rPr>
              <w:t>$18,700</w:t>
            </w:r>
          </w:p>
        </w:tc>
        <w:tc>
          <w:tcPr>
            <w:tcW w:w="1080" w:type="dxa"/>
          </w:tcPr>
          <w:p w:rsidR="00336BA5" w:rsidRDefault="00336BA5" w:rsidP="00EF25E5">
            <w:pPr>
              <w:pStyle w:val="TableText"/>
              <w:jc w:val="center"/>
            </w:pPr>
            <w:r>
              <w:t>$5,800</w:t>
            </w:r>
          </w:p>
        </w:tc>
        <w:tc>
          <w:tcPr>
            <w:tcW w:w="1080" w:type="dxa"/>
          </w:tcPr>
          <w:p w:rsidR="00336BA5" w:rsidRDefault="00336BA5" w:rsidP="00EF25E5">
            <w:pPr>
              <w:pStyle w:val="TableText"/>
              <w:jc w:val="center"/>
            </w:pPr>
            <w:r>
              <w:t>$34,500</w:t>
            </w:r>
          </w:p>
        </w:tc>
        <w:tc>
          <w:tcPr>
            <w:tcW w:w="2340" w:type="dxa"/>
            <w:vAlign w:val="center"/>
          </w:tcPr>
          <w:p w:rsidR="00336BA5" w:rsidRDefault="00336BA5" w:rsidP="00EF25E5">
            <w:pPr>
              <w:pStyle w:val="TableText"/>
              <w:jc w:val="center"/>
            </w:pPr>
            <w: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36BA5" w:rsidRDefault="0057651D" w:rsidP="00EF25E5">
            <w:pPr>
              <w:pStyle w:val="TableText"/>
              <w:jc w:val="center"/>
            </w:pPr>
            <w:r>
              <w:t>$53,300</w:t>
            </w:r>
          </w:p>
        </w:tc>
      </w:tr>
      <w:tr w:rsidR="00336BA5" w:rsidTr="00A12718">
        <w:trPr>
          <w:cantSplit/>
          <w:trHeight w:hRule="exact" w:val="756"/>
        </w:trPr>
        <w:tc>
          <w:tcPr>
            <w:tcW w:w="1749" w:type="dxa"/>
            <w:shd w:val="clear" w:color="auto" w:fill="auto"/>
            <w:vAlign w:val="center"/>
          </w:tcPr>
          <w:p w:rsidR="00336BA5" w:rsidRPr="0094171F" w:rsidRDefault="00336BA5" w:rsidP="00EF25E5">
            <w:pPr>
              <w:pStyle w:val="TableText"/>
              <w:jc w:val="left"/>
              <w:rPr>
                <w:highlight w:val="yellow"/>
              </w:rPr>
            </w:pPr>
            <w:r w:rsidRPr="00F87C7D">
              <w:t>FRED MOYER</w:t>
            </w:r>
          </w:p>
        </w:tc>
        <w:tc>
          <w:tcPr>
            <w:tcW w:w="1007" w:type="dxa"/>
          </w:tcPr>
          <w:p w:rsidR="00336BA5" w:rsidRDefault="00336BA5" w:rsidP="00EF25E5">
            <w:pPr>
              <w:pStyle w:val="TableText"/>
              <w:jc w:val="center"/>
            </w:pPr>
            <w:r>
              <w:t>$39,820</w:t>
            </w:r>
          </w:p>
        </w:tc>
        <w:tc>
          <w:tcPr>
            <w:tcW w:w="1451" w:type="dxa"/>
          </w:tcPr>
          <w:p w:rsidR="00336BA5" w:rsidRDefault="00336BA5" w:rsidP="00EF25E5">
            <w:pPr>
              <w:pStyle w:val="TableText"/>
              <w:jc w:val="center"/>
            </w:pPr>
            <w:r w:rsidRPr="0057651D">
              <w:rPr>
                <w:highlight w:val="yellow"/>
              </w:rPr>
              <w:t>$34,540</w:t>
            </w:r>
          </w:p>
        </w:tc>
        <w:tc>
          <w:tcPr>
            <w:tcW w:w="1080" w:type="dxa"/>
          </w:tcPr>
          <w:p w:rsidR="00336BA5" w:rsidRDefault="00336BA5" w:rsidP="00EF25E5">
            <w:pPr>
              <w:pStyle w:val="TableText"/>
              <w:jc w:val="center"/>
            </w:pPr>
            <w:r>
              <w:t>$29,940</w:t>
            </w:r>
          </w:p>
        </w:tc>
        <w:tc>
          <w:tcPr>
            <w:tcW w:w="1080" w:type="dxa"/>
          </w:tcPr>
          <w:p w:rsidR="00336BA5" w:rsidRDefault="00336BA5" w:rsidP="00EF25E5">
            <w:pPr>
              <w:pStyle w:val="TableText"/>
              <w:jc w:val="center"/>
            </w:pPr>
            <w:r>
              <w:t>$45,340</w:t>
            </w:r>
          </w:p>
        </w:tc>
        <w:tc>
          <w:tcPr>
            <w:tcW w:w="2340" w:type="dxa"/>
            <w:vAlign w:val="center"/>
          </w:tcPr>
          <w:p w:rsidR="00336BA5" w:rsidRDefault="00336BA5" w:rsidP="00EF25E5">
            <w:pPr>
              <w:pStyle w:val="TableText"/>
              <w:jc w:val="center"/>
            </w:pPr>
            <w:r>
              <w:t>$7,000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36BA5" w:rsidRDefault="0057651D" w:rsidP="00EF25E5">
            <w:pPr>
              <w:pStyle w:val="TableText"/>
              <w:jc w:val="center"/>
            </w:pPr>
            <w:r>
              <w:t>$115,100</w:t>
            </w:r>
          </w:p>
        </w:tc>
      </w:tr>
      <w:tr w:rsidR="00336BA5" w:rsidTr="00A12718">
        <w:trPr>
          <w:cantSplit/>
          <w:trHeight w:hRule="exact" w:val="756"/>
        </w:trPr>
        <w:tc>
          <w:tcPr>
            <w:tcW w:w="1749" w:type="dxa"/>
            <w:shd w:val="clear" w:color="auto" w:fill="auto"/>
            <w:vAlign w:val="center"/>
          </w:tcPr>
          <w:p w:rsidR="00336BA5" w:rsidRDefault="00336BA5" w:rsidP="00EF25E5">
            <w:pPr>
              <w:pStyle w:val="DefaultText"/>
            </w:pPr>
            <w:r w:rsidRPr="0057651D">
              <w:rPr>
                <w:highlight w:val="green"/>
              </w:rPr>
              <w:t>STRANG</w:t>
            </w:r>
          </w:p>
        </w:tc>
        <w:tc>
          <w:tcPr>
            <w:tcW w:w="1007" w:type="dxa"/>
          </w:tcPr>
          <w:p w:rsidR="00336BA5" w:rsidRDefault="00336BA5" w:rsidP="00EF25E5">
            <w:pPr>
              <w:pStyle w:val="TableText"/>
              <w:jc w:val="center"/>
            </w:pPr>
            <w:r>
              <w:t>$15,000</w:t>
            </w:r>
          </w:p>
        </w:tc>
        <w:tc>
          <w:tcPr>
            <w:tcW w:w="1451" w:type="dxa"/>
          </w:tcPr>
          <w:p w:rsidR="00336BA5" w:rsidRDefault="00336BA5" w:rsidP="00EF25E5">
            <w:pPr>
              <w:pStyle w:val="TableText"/>
              <w:jc w:val="center"/>
            </w:pPr>
            <w:r w:rsidRPr="0057651D">
              <w:rPr>
                <w:highlight w:val="yellow"/>
              </w:rPr>
              <w:t>$15,000</w:t>
            </w:r>
          </w:p>
        </w:tc>
        <w:tc>
          <w:tcPr>
            <w:tcW w:w="1080" w:type="dxa"/>
          </w:tcPr>
          <w:p w:rsidR="00336BA5" w:rsidRDefault="00336BA5" w:rsidP="00EF25E5">
            <w:pPr>
              <w:pStyle w:val="TableText"/>
              <w:jc w:val="center"/>
            </w:pPr>
            <w:r>
              <w:t>$15,000</w:t>
            </w:r>
          </w:p>
        </w:tc>
        <w:tc>
          <w:tcPr>
            <w:tcW w:w="1080" w:type="dxa"/>
          </w:tcPr>
          <w:p w:rsidR="00336BA5" w:rsidRDefault="00336BA5" w:rsidP="00EF25E5">
            <w:pPr>
              <w:pStyle w:val="TableText"/>
              <w:jc w:val="center"/>
            </w:pPr>
            <w:r>
              <w:t>$15,000</w:t>
            </w:r>
          </w:p>
        </w:tc>
        <w:tc>
          <w:tcPr>
            <w:tcW w:w="2340" w:type="dxa"/>
            <w:vAlign w:val="center"/>
          </w:tcPr>
          <w:p w:rsidR="00336BA5" w:rsidRDefault="00336BA5" w:rsidP="00EF25E5">
            <w:pPr>
              <w:pStyle w:val="TableText"/>
              <w:jc w:val="center"/>
            </w:pPr>
            <w:r>
              <w:t>$1000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36BA5" w:rsidRDefault="0057651D" w:rsidP="00EF25E5">
            <w:pPr>
              <w:pStyle w:val="TableText"/>
              <w:jc w:val="center"/>
            </w:pPr>
            <w:r w:rsidRPr="0057651D">
              <w:rPr>
                <w:highlight w:val="green"/>
              </w:rPr>
              <w:t>$45,000</w:t>
            </w:r>
          </w:p>
        </w:tc>
      </w:tr>
      <w:tr w:rsidR="00336BA5" w:rsidTr="00A12718">
        <w:trPr>
          <w:cantSplit/>
          <w:trHeight w:hRule="exact" w:val="756"/>
        </w:trPr>
        <w:tc>
          <w:tcPr>
            <w:tcW w:w="1749" w:type="dxa"/>
            <w:shd w:val="clear" w:color="auto" w:fill="auto"/>
            <w:vAlign w:val="center"/>
          </w:tcPr>
          <w:p w:rsidR="00336BA5" w:rsidRDefault="00336BA5" w:rsidP="00EF25E5">
            <w:pPr>
              <w:pStyle w:val="DefaultText"/>
            </w:pPr>
          </w:p>
        </w:tc>
        <w:tc>
          <w:tcPr>
            <w:tcW w:w="1007" w:type="dxa"/>
          </w:tcPr>
          <w:p w:rsidR="00336BA5" w:rsidRDefault="00336BA5" w:rsidP="00EF25E5">
            <w:pPr>
              <w:pStyle w:val="TableText"/>
              <w:jc w:val="center"/>
            </w:pPr>
          </w:p>
        </w:tc>
        <w:tc>
          <w:tcPr>
            <w:tcW w:w="1451" w:type="dxa"/>
          </w:tcPr>
          <w:p w:rsidR="00336BA5" w:rsidRDefault="00336BA5" w:rsidP="00EF25E5">
            <w:pPr>
              <w:pStyle w:val="TableText"/>
              <w:jc w:val="center"/>
            </w:pPr>
          </w:p>
        </w:tc>
        <w:tc>
          <w:tcPr>
            <w:tcW w:w="1080" w:type="dxa"/>
          </w:tcPr>
          <w:p w:rsidR="00336BA5" w:rsidRDefault="00336BA5" w:rsidP="00EF25E5">
            <w:pPr>
              <w:pStyle w:val="TableText"/>
              <w:jc w:val="center"/>
            </w:pPr>
          </w:p>
        </w:tc>
        <w:tc>
          <w:tcPr>
            <w:tcW w:w="1080" w:type="dxa"/>
          </w:tcPr>
          <w:p w:rsidR="00336BA5" w:rsidRDefault="00336BA5" w:rsidP="00EF25E5">
            <w:pPr>
              <w:pStyle w:val="TableText"/>
              <w:jc w:val="center"/>
            </w:pPr>
          </w:p>
        </w:tc>
        <w:tc>
          <w:tcPr>
            <w:tcW w:w="2340" w:type="dxa"/>
            <w:vAlign w:val="center"/>
          </w:tcPr>
          <w:p w:rsidR="00336BA5" w:rsidRDefault="00336BA5" w:rsidP="00EF25E5">
            <w:pPr>
              <w:pStyle w:val="TableText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36BA5" w:rsidRDefault="00336BA5" w:rsidP="00EF25E5">
            <w:pPr>
              <w:pStyle w:val="TableText"/>
              <w:jc w:val="center"/>
            </w:pPr>
          </w:p>
        </w:tc>
      </w:tr>
      <w:tr w:rsidR="00336BA5" w:rsidTr="00A12718">
        <w:trPr>
          <w:cantSplit/>
          <w:trHeight w:hRule="exact" w:val="756"/>
        </w:trPr>
        <w:tc>
          <w:tcPr>
            <w:tcW w:w="1749" w:type="dxa"/>
            <w:shd w:val="clear" w:color="auto" w:fill="auto"/>
            <w:vAlign w:val="center"/>
          </w:tcPr>
          <w:p w:rsidR="00336BA5" w:rsidRDefault="00336BA5" w:rsidP="00EF25E5">
            <w:pPr>
              <w:pStyle w:val="DefaultText"/>
            </w:pPr>
          </w:p>
        </w:tc>
        <w:tc>
          <w:tcPr>
            <w:tcW w:w="1007" w:type="dxa"/>
          </w:tcPr>
          <w:p w:rsidR="00336BA5" w:rsidRDefault="00336BA5" w:rsidP="00EF25E5">
            <w:pPr>
              <w:pStyle w:val="TableText"/>
              <w:jc w:val="center"/>
            </w:pPr>
          </w:p>
        </w:tc>
        <w:tc>
          <w:tcPr>
            <w:tcW w:w="1451" w:type="dxa"/>
          </w:tcPr>
          <w:p w:rsidR="00336BA5" w:rsidRDefault="00336BA5" w:rsidP="00EF25E5">
            <w:pPr>
              <w:pStyle w:val="TableText"/>
              <w:jc w:val="center"/>
            </w:pPr>
          </w:p>
        </w:tc>
        <w:tc>
          <w:tcPr>
            <w:tcW w:w="1080" w:type="dxa"/>
          </w:tcPr>
          <w:p w:rsidR="00336BA5" w:rsidRDefault="00336BA5" w:rsidP="00EF25E5">
            <w:pPr>
              <w:pStyle w:val="TableText"/>
              <w:jc w:val="center"/>
            </w:pPr>
          </w:p>
        </w:tc>
        <w:tc>
          <w:tcPr>
            <w:tcW w:w="1080" w:type="dxa"/>
          </w:tcPr>
          <w:p w:rsidR="00336BA5" w:rsidRDefault="00336BA5" w:rsidP="00EF25E5">
            <w:pPr>
              <w:pStyle w:val="TableText"/>
              <w:jc w:val="center"/>
            </w:pPr>
          </w:p>
        </w:tc>
        <w:tc>
          <w:tcPr>
            <w:tcW w:w="2340" w:type="dxa"/>
            <w:vAlign w:val="center"/>
          </w:tcPr>
          <w:p w:rsidR="00336BA5" w:rsidRDefault="00336BA5" w:rsidP="00EF25E5">
            <w:pPr>
              <w:pStyle w:val="TableText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36BA5" w:rsidRDefault="00336BA5" w:rsidP="00EF25E5">
            <w:pPr>
              <w:pStyle w:val="TableText"/>
              <w:jc w:val="center"/>
            </w:pPr>
          </w:p>
        </w:tc>
      </w:tr>
      <w:tr w:rsidR="00336BA5" w:rsidTr="00A12718">
        <w:trPr>
          <w:cantSplit/>
          <w:trHeight w:hRule="exact" w:val="756"/>
        </w:trPr>
        <w:tc>
          <w:tcPr>
            <w:tcW w:w="1749" w:type="dxa"/>
            <w:shd w:val="clear" w:color="auto" w:fill="auto"/>
            <w:vAlign w:val="center"/>
          </w:tcPr>
          <w:p w:rsidR="00336BA5" w:rsidRDefault="00336BA5" w:rsidP="00EF25E5">
            <w:pPr>
              <w:pStyle w:val="DefaultText"/>
            </w:pPr>
          </w:p>
        </w:tc>
        <w:tc>
          <w:tcPr>
            <w:tcW w:w="1007" w:type="dxa"/>
          </w:tcPr>
          <w:p w:rsidR="00336BA5" w:rsidRDefault="00336BA5" w:rsidP="00EF25E5">
            <w:pPr>
              <w:pStyle w:val="TableText"/>
              <w:jc w:val="center"/>
            </w:pPr>
          </w:p>
        </w:tc>
        <w:tc>
          <w:tcPr>
            <w:tcW w:w="1451" w:type="dxa"/>
          </w:tcPr>
          <w:p w:rsidR="00336BA5" w:rsidRDefault="00336BA5" w:rsidP="00EF25E5">
            <w:pPr>
              <w:pStyle w:val="TableText"/>
              <w:jc w:val="center"/>
            </w:pPr>
          </w:p>
        </w:tc>
        <w:tc>
          <w:tcPr>
            <w:tcW w:w="1080" w:type="dxa"/>
          </w:tcPr>
          <w:p w:rsidR="00336BA5" w:rsidRDefault="00336BA5" w:rsidP="00EF25E5">
            <w:pPr>
              <w:pStyle w:val="TableText"/>
              <w:jc w:val="center"/>
            </w:pPr>
          </w:p>
        </w:tc>
        <w:tc>
          <w:tcPr>
            <w:tcW w:w="1080" w:type="dxa"/>
          </w:tcPr>
          <w:p w:rsidR="00336BA5" w:rsidRDefault="00336BA5" w:rsidP="00EF25E5">
            <w:pPr>
              <w:pStyle w:val="TableText"/>
              <w:jc w:val="center"/>
            </w:pPr>
          </w:p>
        </w:tc>
        <w:tc>
          <w:tcPr>
            <w:tcW w:w="2340" w:type="dxa"/>
            <w:vAlign w:val="center"/>
          </w:tcPr>
          <w:p w:rsidR="00336BA5" w:rsidRDefault="00336BA5" w:rsidP="00EF25E5">
            <w:pPr>
              <w:pStyle w:val="TableText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36BA5" w:rsidRDefault="00336BA5" w:rsidP="00EF25E5">
            <w:pPr>
              <w:pStyle w:val="TableText"/>
              <w:jc w:val="center"/>
            </w:pPr>
          </w:p>
        </w:tc>
      </w:tr>
    </w:tbl>
    <w:p w:rsidR="003D64D2" w:rsidRPr="0007073E" w:rsidRDefault="003D64D2" w:rsidP="003C6B8D">
      <w:pPr>
        <w:pStyle w:val="NoSpacing"/>
        <w:rPr>
          <w:rFonts w:ascii="Times New Roman" w:hAnsi="Times New Roman"/>
          <w:sz w:val="20"/>
          <w:szCs w:val="20"/>
        </w:rPr>
      </w:pPr>
    </w:p>
    <w:sectPr w:rsidR="003D64D2" w:rsidRPr="0007073E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7E" w:rsidRDefault="00B71E7E">
      <w:r>
        <w:separator/>
      </w:r>
    </w:p>
  </w:endnote>
  <w:endnote w:type="continuationSeparator" w:id="0">
    <w:p w:rsidR="00B71E7E" w:rsidRDefault="00B7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7E" w:rsidRDefault="00B71E7E">
      <w:r>
        <w:separator/>
      </w:r>
    </w:p>
  </w:footnote>
  <w:footnote w:type="continuationSeparator" w:id="0">
    <w:p w:rsidR="00B71E7E" w:rsidRDefault="00B71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31E85"/>
    <w:rsid w:val="0003237D"/>
    <w:rsid w:val="0007073E"/>
    <w:rsid w:val="00084DF0"/>
    <w:rsid w:val="000A26EC"/>
    <w:rsid w:val="000B352B"/>
    <w:rsid w:val="000B59DF"/>
    <w:rsid w:val="000B79FF"/>
    <w:rsid w:val="000D6495"/>
    <w:rsid w:val="000F1169"/>
    <w:rsid w:val="001001B3"/>
    <w:rsid w:val="00110216"/>
    <w:rsid w:val="001319F5"/>
    <w:rsid w:val="00136D1E"/>
    <w:rsid w:val="00136E75"/>
    <w:rsid w:val="00147D63"/>
    <w:rsid w:val="0015320E"/>
    <w:rsid w:val="001565D5"/>
    <w:rsid w:val="00166E27"/>
    <w:rsid w:val="00196513"/>
    <w:rsid w:val="001B5A84"/>
    <w:rsid w:val="001D03FF"/>
    <w:rsid w:val="001D1E90"/>
    <w:rsid w:val="001E1D83"/>
    <w:rsid w:val="001E4083"/>
    <w:rsid w:val="00202D37"/>
    <w:rsid w:val="00252508"/>
    <w:rsid w:val="00257F26"/>
    <w:rsid w:val="00275ECC"/>
    <w:rsid w:val="00287A8B"/>
    <w:rsid w:val="002933D1"/>
    <w:rsid w:val="002C060F"/>
    <w:rsid w:val="002D0A42"/>
    <w:rsid w:val="002E0D75"/>
    <w:rsid w:val="002F5B52"/>
    <w:rsid w:val="00301CB0"/>
    <w:rsid w:val="00312671"/>
    <w:rsid w:val="00336BA5"/>
    <w:rsid w:val="00353D00"/>
    <w:rsid w:val="00355EFD"/>
    <w:rsid w:val="00363942"/>
    <w:rsid w:val="00373B31"/>
    <w:rsid w:val="00387FF5"/>
    <w:rsid w:val="003C6B8D"/>
    <w:rsid w:val="003D4E12"/>
    <w:rsid w:val="003D64D2"/>
    <w:rsid w:val="003D77F5"/>
    <w:rsid w:val="004043D1"/>
    <w:rsid w:val="0040512E"/>
    <w:rsid w:val="0041595A"/>
    <w:rsid w:val="00423630"/>
    <w:rsid w:val="00431245"/>
    <w:rsid w:val="004344A8"/>
    <w:rsid w:val="00446B11"/>
    <w:rsid w:val="00447545"/>
    <w:rsid w:val="00475279"/>
    <w:rsid w:val="004E1653"/>
    <w:rsid w:val="00517DE2"/>
    <w:rsid w:val="005205F3"/>
    <w:rsid w:val="00550E1A"/>
    <w:rsid w:val="00576118"/>
    <w:rsid w:val="0057651D"/>
    <w:rsid w:val="005F4649"/>
    <w:rsid w:val="005F78D9"/>
    <w:rsid w:val="00620B14"/>
    <w:rsid w:val="00631697"/>
    <w:rsid w:val="006332B9"/>
    <w:rsid w:val="00642DA3"/>
    <w:rsid w:val="0067139A"/>
    <w:rsid w:val="00686F82"/>
    <w:rsid w:val="00687D1C"/>
    <w:rsid w:val="00692DAA"/>
    <w:rsid w:val="006D309C"/>
    <w:rsid w:val="006D7B89"/>
    <w:rsid w:val="006F4CF3"/>
    <w:rsid w:val="006F781B"/>
    <w:rsid w:val="00712121"/>
    <w:rsid w:val="00716A53"/>
    <w:rsid w:val="00721B17"/>
    <w:rsid w:val="00723D8D"/>
    <w:rsid w:val="00724305"/>
    <w:rsid w:val="0073210D"/>
    <w:rsid w:val="00747818"/>
    <w:rsid w:val="00790AD3"/>
    <w:rsid w:val="007910D2"/>
    <w:rsid w:val="0079729F"/>
    <w:rsid w:val="0079739E"/>
    <w:rsid w:val="00797428"/>
    <w:rsid w:val="007C39A5"/>
    <w:rsid w:val="007C47AD"/>
    <w:rsid w:val="007C4FFA"/>
    <w:rsid w:val="007C5181"/>
    <w:rsid w:val="007D7BAE"/>
    <w:rsid w:val="008016A2"/>
    <w:rsid w:val="00817E93"/>
    <w:rsid w:val="00863E1D"/>
    <w:rsid w:val="00876B91"/>
    <w:rsid w:val="008D00C1"/>
    <w:rsid w:val="008E3A7D"/>
    <w:rsid w:val="008F402D"/>
    <w:rsid w:val="008F77A8"/>
    <w:rsid w:val="00907C08"/>
    <w:rsid w:val="00965369"/>
    <w:rsid w:val="00976515"/>
    <w:rsid w:val="00996377"/>
    <w:rsid w:val="009C6CD7"/>
    <w:rsid w:val="009D5159"/>
    <w:rsid w:val="00A00F12"/>
    <w:rsid w:val="00A06920"/>
    <w:rsid w:val="00A12718"/>
    <w:rsid w:val="00A20060"/>
    <w:rsid w:val="00A36D4F"/>
    <w:rsid w:val="00A446AE"/>
    <w:rsid w:val="00A52BF3"/>
    <w:rsid w:val="00A671BB"/>
    <w:rsid w:val="00A749A3"/>
    <w:rsid w:val="00A959D9"/>
    <w:rsid w:val="00A95BC4"/>
    <w:rsid w:val="00A966DA"/>
    <w:rsid w:val="00AA6258"/>
    <w:rsid w:val="00AC331C"/>
    <w:rsid w:val="00AC617C"/>
    <w:rsid w:val="00AF377E"/>
    <w:rsid w:val="00AF3ADF"/>
    <w:rsid w:val="00AF4C86"/>
    <w:rsid w:val="00B2634E"/>
    <w:rsid w:val="00B52FAE"/>
    <w:rsid w:val="00B53936"/>
    <w:rsid w:val="00B62C05"/>
    <w:rsid w:val="00B62EFF"/>
    <w:rsid w:val="00B71E7E"/>
    <w:rsid w:val="00B73B46"/>
    <w:rsid w:val="00B7537F"/>
    <w:rsid w:val="00BC0779"/>
    <w:rsid w:val="00BD352B"/>
    <w:rsid w:val="00BE2690"/>
    <w:rsid w:val="00C0509E"/>
    <w:rsid w:val="00C26190"/>
    <w:rsid w:val="00C30082"/>
    <w:rsid w:val="00C41211"/>
    <w:rsid w:val="00C4616B"/>
    <w:rsid w:val="00C60573"/>
    <w:rsid w:val="00C860C2"/>
    <w:rsid w:val="00CA6BBF"/>
    <w:rsid w:val="00CB73F2"/>
    <w:rsid w:val="00CD5436"/>
    <w:rsid w:val="00D07657"/>
    <w:rsid w:val="00D140DA"/>
    <w:rsid w:val="00D300F2"/>
    <w:rsid w:val="00D40573"/>
    <w:rsid w:val="00D4253D"/>
    <w:rsid w:val="00D940BF"/>
    <w:rsid w:val="00DC5B2D"/>
    <w:rsid w:val="00DD635D"/>
    <w:rsid w:val="00DE144E"/>
    <w:rsid w:val="00E01816"/>
    <w:rsid w:val="00E05362"/>
    <w:rsid w:val="00E0562C"/>
    <w:rsid w:val="00E24404"/>
    <w:rsid w:val="00E27A69"/>
    <w:rsid w:val="00E353A7"/>
    <w:rsid w:val="00E46EF5"/>
    <w:rsid w:val="00E76BCD"/>
    <w:rsid w:val="00E829F4"/>
    <w:rsid w:val="00E86F64"/>
    <w:rsid w:val="00EA64BE"/>
    <w:rsid w:val="00ED2684"/>
    <w:rsid w:val="00ED67C2"/>
    <w:rsid w:val="00EF3241"/>
    <w:rsid w:val="00F331A7"/>
    <w:rsid w:val="00F44B62"/>
    <w:rsid w:val="00F620FC"/>
    <w:rsid w:val="00F70E40"/>
    <w:rsid w:val="00F77933"/>
    <w:rsid w:val="00FB27AF"/>
    <w:rsid w:val="00FC3445"/>
    <w:rsid w:val="00FD66C9"/>
    <w:rsid w:val="00FF1DDC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C9976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199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10</cp:revision>
  <cp:lastPrinted>2019-01-11T20:40:00Z</cp:lastPrinted>
  <dcterms:created xsi:type="dcterms:W3CDTF">2019-01-10T17:18:00Z</dcterms:created>
  <dcterms:modified xsi:type="dcterms:W3CDTF">2019-01-11T20:42:00Z</dcterms:modified>
</cp:coreProperties>
</file>