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BB07" w14:textId="77777777" w:rsidR="00097E85" w:rsidRPr="00097E85" w:rsidRDefault="00097E85" w:rsidP="00097E85">
      <w:pPr>
        <w:rPr>
          <w:b/>
          <w:bCs/>
          <w:u w:val="single"/>
        </w:rPr>
      </w:pPr>
      <w:r w:rsidRPr="00097E85">
        <w:rPr>
          <w:b/>
          <w:bCs/>
          <w:u w:val="single"/>
        </w:rPr>
        <w:t xml:space="preserve">FEI by </w:t>
      </w:r>
      <w:proofErr w:type="spellStart"/>
      <w:r w:rsidRPr="00097E85">
        <w:rPr>
          <w:b/>
          <w:bCs/>
          <w:u w:val="single"/>
        </w:rPr>
        <w:t>AllOne</w:t>
      </w:r>
      <w:proofErr w:type="spellEnd"/>
      <w:r w:rsidRPr="00097E85">
        <w:rPr>
          <w:b/>
          <w:bCs/>
          <w:u w:val="single"/>
        </w:rPr>
        <w:t xml:space="preserve"> Health  </w:t>
      </w:r>
    </w:p>
    <w:p w14:paraId="2743E591" w14:textId="77777777" w:rsidR="00097E85" w:rsidRDefault="00097E85" w:rsidP="00097E85">
      <w:r>
        <w:t xml:space="preserve">FEI provided a PEPM cost for 3 and 5 sessions and options for both including a bank of hours. </w:t>
      </w:r>
    </w:p>
    <w:p w14:paraId="72CAC656" w14:textId="77777777" w:rsidR="00097E85" w:rsidRDefault="00097E85" w:rsidP="00097E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This bank of hours can be used for either trainings or critical incident response.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2467"/>
        <w:gridCol w:w="2791"/>
      </w:tblGrid>
      <w:tr w:rsidR="00097E85" w14:paraId="77075669" w14:textId="77777777" w:rsidTr="00097E85"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C933" w14:textId="77777777" w:rsidR="00097E85" w:rsidRDefault="00097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Mental Health Sessions Per Issue Per Year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A263" w14:textId="77777777" w:rsidR="00097E85" w:rsidRDefault="00097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PEPM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8948" w14:textId="77777777" w:rsidR="00097E85" w:rsidRDefault="00097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Approximate Annual Cost</w:t>
            </w:r>
          </w:p>
        </w:tc>
      </w:tr>
      <w:tr w:rsidR="00097E85" w14:paraId="40BEB006" w14:textId="77777777" w:rsidTr="00097E85"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F061" w14:textId="77777777" w:rsidR="00097E85" w:rsidRDefault="00097E85">
            <w:r>
              <w:t>3 (no bank of hours)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AB5B" w14:textId="77777777" w:rsidR="00097E85" w:rsidRDefault="00097E85">
            <w:pPr>
              <w:jc w:val="center"/>
            </w:pPr>
            <w:r>
              <w:t>$1.30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8E1C" w14:textId="77777777" w:rsidR="00097E85" w:rsidRDefault="00097E85">
            <w:pPr>
              <w:jc w:val="center"/>
            </w:pPr>
            <w:r>
              <w:t>$9,360</w:t>
            </w:r>
          </w:p>
        </w:tc>
      </w:tr>
      <w:tr w:rsidR="00097E85" w14:paraId="10831A27" w14:textId="77777777" w:rsidTr="00097E85"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A693" w14:textId="77777777" w:rsidR="00097E85" w:rsidRDefault="00097E85">
            <w:r>
              <w:t>3 (bank of 4 hours)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51C8" w14:textId="77777777" w:rsidR="00097E85" w:rsidRDefault="00097E85">
            <w:pPr>
              <w:jc w:val="center"/>
            </w:pPr>
            <w:r>
              <w:t>$1.50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5394" w14:textId="77777777" w:rsidR="00097E85" w:rsidRDefault="00097E85">
            <w:pPr>
              <w:jc w:val="center"/>
            </w:pPr>
            <w:r>
              <w:t>$10,800</w:t>
            </w:r>
          </w:p>
        </w:tc>
      </w:tr>
      <w:tr w:rsidR="00097E85" w14:paraId="7A880C80" w14:textId="77777777" w:rsidTr="00097E85"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054A" w14:textId="77777777" w:rsidR="00097E85" w:rsidRDefault="00097E85">
            <w:r>
              <w:t>5 (no bank of hours)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A76C" w14:textId="77777777" w:rsidR="00097E85" w:rsidRDefault="00097E85">
            <w:pPr>
              <w:jc w:val="center"/>
            </w:pPr>
            <w:r>
              <w:t>$1.45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B546" w14:textId="77777777" w:rsidR="00097E85" w:rsidRDefault="00097E85">
            <w:pPr>
              <w:jc w:val="center"/>
            </w:pPr>
            <w:r>
              <w:t>$10,440</w:t>
            </w:r>
          </w:p>
        </w:tc>
      </w:tr>
      <w:tr w:rsidR="00097E85" w14:paraId="6BF636FC" w14:textId="77777777" w:rsidTr="00097E85"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950B" w14:textId="77777777" w:rsidR="00097E85" w:rsidRDefault="00097E85">
            <w:r>
              <w:t>5 (bank of 4 hours)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9B4A" w14:textId="77777777" w:rsidR="00097E85" w:rsidRDefault="00097E85">
            <w:pPr>
              <w:jc w:val="center"/>
            </w:pPr>
            <w:r>
              <w:t>$1.65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4CFC" w14:textId="77777777" w:rsidR="00097E85" w:rsidRDefault="00097E85">
            <w:pPr>
              <w:jc w:val="center"/>
            </w:pPr>
            <w:r>
              <w:t>$11,880</w:t>
            </w:r>
          </w:p>
        </w:tc>
      </w:tr>
      <w:tr w:rsidR="00097E85" w14:paraId="55E66BC9" w14:textId="77777777" w:rsidTr="00097E85">
        <w:tc>
          <w:tcPr>
            <w:tcW w:w="101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60C6" w14:textId="77777777" w:rsidR="00097E85" w:rsidRDefault="00097E8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Pricing based upon approximately 600 employees</w:t>
            </w:r>
          </w:p>
          <w:p w14:paraId="59957640" w14:textId="77777777" w:rsidR="00097E85" w:rsidRDefault="00097E8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Virtual program orientation included at mutually agreeable times</w:t>
            </w:r>
          </w:p>
        </w:tc>
      </w:tr>
    </w:tbl>
    <w:p w14:paraId="03C1E580" w14:textId="77777777" w:rsidR="00097E85" w:rsidRDefault="00097E85" w:rsidP="00097E85"/>
    <w:p w14:paraId="408E0D0F" w14:textId="00B8D9D4" w:rsidR="00097E85" w:rsidRDefault="00097E85" w:rsidP="00097E85">
      <w:r>
        <w:t>Highlights:</w:t>
      </w:r>
    </w:p>
    <w:p w14:paraId="6C2F57CC" w14:textId="77777777" w:rsidR="00097E85" w:rsidRDefault="00097E85" w:rsidP="00097E8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Unlimited In-the-Moment Support</w:t>
      </w:r>
      <w:r>
        <w:rPr>
          <w:rFonts w:eastAsia="Times New Roman"/>
        </w:rPr>
        <w:t xml:space="preserve">: Members can speak with a Counselor at the time of intake, ensuring in-the-moment support is always available. </w:t>
      </w:r>
    </w:p>
    <w:p w14:paraId="3E91ECB9" w14:textId="77777777" w:rsidR="00097E85" w:rsidRDefault="00097E85" w:rsidP="00097E8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Organizational Consulting: </w:t>
      </w:r>
      <w:r>
        <w:rPr>
          <w:rFonts w:eastAsia="Times New Roman"/>
        </w:rPr>
        <w:t>We prioritize leadership and organizational consulting as a crucial aspect of EAP service delivery to support HR Directors and Managers in addressing workplace issues and enhancing organizational productivity, health, and well-being.</w:t>
      </w:r>
    </w:p>
    <w:p w14:paraId="4B93E145" w14:textId="77777777" w:rsidR="00097E85" w:rsidRDefault="00097E85" w:rsidP="00097E8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Financial Consultation: </w:t>
      </w:r>
      <w:r>
        <w:rPr>
          <w:rFonts w:eastAsia="Times New Roman"/>
        </w:rPr>
        <w:t xml:space="preserve">85% of financial consultation is provided by our in-house certified staff, rather than outsourcing like other EAPs, promoting better coordination among benefits and </w:t>
      </w:r>
      <w:r>
        <w:rPr>
          <w:rFonts w:eastAsia="Times New Roman"/>
          <w:b/>
          <w:bCs/>
        </w:rPr>
        <w:t>multiple consultation sessions for most issues</w:t>
      </w:r>
      <w:r>
        <w:rPr>
          <w:rFonts w:eastAsia="Times New Roman"/>
        </w:rPr>
        <w:t>.</w:t>
      </w:r>
    </w:p>
    <w:p w14:paraId="0335E957" w14:textId="0DACC481" w:rsidR="00097E85" w:rsidRDefault="00097E85" w:rsidP="00097E8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Expanded Benefits: </w:t>
      </w:r>
      <w:r>
        <w:rPr>
          <w:rFonts w:eastAsia="Times New Roman"/>
        </w:rPr>
        <w:t xml:space="preserve">Our program includes </w:t>
      </w:r>
      <w:r>
        <w:rPr>
          <w:rFonts w:eastAsia="Times New Roman"/>
          <w:b/>
          <w:bCs/>
        </w:rPr>
        <w:t>Medical Advocacy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</w:rPr>
        <w:t>Life Coaching</w:t>
      </w:r>
      <w:r>
        <w:rPr>
          <w:rFonts w:eastAsia="Times New Roman"/>
        </w:rPr>
        <w:t xml:space="preserve">, and </w:t>
      </w:r>
      <w:r>
        <w:rPr>
          <w:rFonts w:eastAsia="Times New Roman"/>
          <w:b/>
          <w:bCs/>
        </w:rPr>
        <w:t>Personal Assistant</w:t>
      </w:r>
      <w:r>
        <w:rPr>
          <w:rFonts w:eastAsia="Times New Roman"/>
        </w:rPr>
        <w:t xml:space="preserve"> services to embrace a total Well-Being model.</w:t>
      </w:r>
    </w:p>
    <w:p w14:paraId="37FB3B4A" w14:textId="3322A050" w:rsidR="00097E85" w:rsidRDefault="00097E85" w:rsidP="00097E8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Focus on whole health</w:t>
      </w:r>
    </w:p>
    <w:p w14:paraId="526CF27B" w14:textId="3DE99FF2" w:rsidR="00097E85" w:rsidRDefault="00097E85" w:rsidP="00097E8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All staff go through public safety and 1</w:t>
      </w:r>
      <w:r w:rsidRPr="00097E85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responder training on identifying cues to help support when this may not be voiced.</w:t>
      </w:r>
    </w:p>
    <w:p w14:paraId="35211BC4" w14:textId="77777777" w:rsidR="00097E85" w:rsidRDefault="00097E85" w:rsidP="00097E85"/>
    <w:p w14:paraId="5233080B" w14:textId="77777777" w:rsidR="00097E85" w:rsidRPr="00097E85" w:rsidRDefault="00097E85" w:rsidP="00097E85">
      <w:pPr>
        <w:rPr>
          <w:b/>
          <w:bCs/>
          <w:u w:val="single"/>
        </w:rPr>
      </w:pPr>
      <w:r w:rsidRPr="00097E85">
        <w:rPr>
          <w:b/>
          <w:bCs/>
          <w:u w:val="single"/>
        </w:rPr>
        <w:t>Headspace</w:t>
      </w:r>
    </w:p>
    <w:p w14:paraId="0AC85FAC" w14:textId="77777777" w:rsidR="00097E85" w:rsidRDefault="00097E85" w:rsidP="00097E85">
      <w:r>
        <w:t xml:space="preserve">Headspace provided two options – Headspace Care and Headspace EAP. The blue titles below will direct you to a webpage for additional information. </w:t>
      </w:r>
    </w:p>
    <w:p w14:paraId="440AFC83" w14:textId="77777777" w:rsidR="00097E85" w:rsidRDefault="00097E85" w:rsidP="00097E85"/>
    <w:p w14:paraId="7485FBD0" w14:textId="77777777" w:rsidR="00097E85" w:rsidRDefault="00097E85" w:rsidP="00097E85">
      <w:hyperlink r:id="rId5" w:history="1">
        <w:r>
          <w:rPr>
            <w:rStyle w:val="Hyperlink"/>
          </w:rPr>
          <w:t>Headspace Care</w:t>
        </w:r>
      </w:hyperlink>
    </w:p>
    <w:p w14:paraId="531A4CAD" w14:textId="77777777" w:rsidR="00097E85" w:rsidRDefault="00097E85" w:rsidP="00097E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Includes unlimited access to Headspace app/self-care content, unlimited health coaching and therapy/psychiatry sessions via chat for employees and 5 of their family members, included in the cost. </w:t>
      </w:r>
    </w:p>
    <w:p w14:paraId="1B11A131" w14:textId="2F2AAE6B" w:rsidR="00097E85" w:rsidRDefault="00097E85" w:rsidP="00097E8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826"/>
        <w:gridCol w:w="3420"/>
      </w:tblGrid>
      <w:tr w:rsidR="00097E85" w14:paraId="70224B41" w14:textId="77777777" w:rsidTr="00097E85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A534" w14:textId="77777777" w:rsidR="00097E85" w:rsidRDefault="00097E85">
            <w:pPr>
              <w:pStyle w:val="ListParagraph"/>
              <w:ind w:left="0"/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6B8B" w14:textId="77777777" w:rsidR="00097E85" w:rsidRDefault="00097E85">
            <w:pPr>
              <w:pStyle w:val="ListParagraph"/>
              <w:ind w:left="0"/>
            </w:pPr>
            <w:r>
              <w:t>Single Fee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A16A" w14:textId="77777777" w:rsidR="00097E85" w:rsidRDefault="00097E85">
            <w:pPr>
              <w:pStyle w:val="ListParagraph"/>
              <w:ind w:left="0"/>
            </w:pPr>
            <w:r>
              <w:t>Fee for Service</w:t>
            </w:r>
          </w:p>
        </w:tc>
      </w:tr>
      <w:tr w:rsidR="00097E85" w14:paraId="4602EAB7" w14:textId="77777777" w:rsidTr="00097E85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DE3E" w14:textId="77777777" w:rsidR="00097E85" w:rsidRDefault="00097E85">
            <w:pPr>
              <w:pStyle w:val="ListParagraph"/>
              <w:ind w:left="0"/>
            </w:pPr>
            <w:r>
              <w:t>PEPM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E471" w14:textId="77777777" w:rsidR="00097E85" w:rsidRDefault="00097E85">
            <w:pPr>
              <w:pStyle w:val="ListParagraph"/>
              <w:ind w:left="0"/>
            </w:pPr>
            <w:r>
              <w:t>$7.26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7687" w14:textId="77777777" w:rsidR="00097E85" w:rsidRDefault="00097E85">
            <w:pPr>
              <w:pStyle w:val="ListParagraph"/>
              <w:ind w:left="0"/>
            </w:pPr>
            <w:r>
              <w:t>$5.52</w:t>
            </w:r>
          </w:p>
        </w:tc>
      </w:tr>
      <w:tr w:rsidR="00097E85" w14:paraId="2339D3FD" w14:textId="77777777" w:rsidTr="00097E85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47DE" w14:textId="77777777" w:rsidR="00097E85" w:rsidRDefault="00097E85">
            <w:pPr>
              <w:pStyle w:val="ListParagraph"/>
              <w:ind w:left="0"/>
            </w:pPr>
            <w:r>
              <w:t>Approximate annual cost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043D" w14:textId="77777777" w:rsidR="00097E85" w:rsidRDefault="00097E85">
            <w:pPr>
              <w:pStyle w:val="ListParagraph"/>
              <w:ind w:left="0"/>
            </w:pPr>
            <w:r>
              <w:t>$52,272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63E9" w14:textId="77777777" w:rsidR="00097E85" w:rsidRDefault="00097E85">
            <w:pPr>
              <w:pStyle w:val="ListParagraph"/>
              <w:ind w:left="0"/>
            </w:pPr>
            <w:r>
              <w:t>$39,744 + any virtual video visits</w:t>
            </w:r>
          </w:p>
        </w:tc>
      </w:tr>
    </w:tbl>
    <w:p w14:paraId="7C864B6D" w14:textId="77777777" w:rsidR="00097E85" w:rsidRDefault="00097E85" w:rsidP="00097E85">
      <w:pPr>
        <w:pStyle w:val="ListParagraph"/>
      </w:pPr>
    </w:p>
    <w:p w14:paraId="47088F7B" w14:textId="77777777" w:rsidR="00097E85" w:rsidRDefault="00097E85" w:rsidP="00097E85">
      <w:hyperlink r:id="rId6" w:history="1">
        <w:r>
          <w:rPr>
            <w:rStyle w:val="Hyperlink"/>
          </w:rPr>
          <w:t>Headspace EAP</w:t>
        </w:r>
      </w:hyperlink>
      <w:r>
        <w:t xml:space="preserve"> </w:t>
      </w:r>
    </w:p>
    <w:p w14:paraId="2E753754" w14:textId="18311210" w:rsidR="00097E85" w:rsidRDefault="00097E85" w:rsidP="00097E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Most comprehensive package that includes unlimited Headspace &amp; Headspace Care access and the full suite of EAP services for employees and the full suite of EAP services for your organization itself.</w:t>
      </w:r>
    </w:p>
    <w:p w14:paraId="61D85C98" w14:textId="77777777" w:rsidR="00097E85" w:rsidRDefault="00097E85" w:rsidP="00097E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 additional resource – </w:t>
      </w:r>
      <w:hyperlink r:id="rId7" w:history="1">
        <w:r>
          <w:rPr>
            <w:rStyle w:val="Hyperlink"/>
            <w:rFonts w:eastAsia="Times New Roman"/>
          </w:rPr>
          <w:t>Headspace EAP Overview Video</w:t>
        </w:r>
      </w:hyperlink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826"/>
      </w:tblGrid>
      <w:tr w:rsidR="00097E85" w14:paraId="73B889DC" w14:textId="77777777" w:rsidTr="00097E85">
        <w:tc>
          <w:tcPr>
            <w:tcW w:w="4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0D35" w14:textId="77777777" w:rsidR="00097E85" w:rsidRDefault="00097E85">
            <w:r>
              <w:t>8 Sessions per issue per year</w:t>
            </w:r>
          </w:p>
        </w:tc>
      </w:tr>
      <w:tr w:rsidR="00097E85" w14:paraId="3DB98F8E" w14:textId="77777777" w:rsidTr="00097E85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B470" w14:textId="77777777" w:rsidR="00097E85" w:rsidRDefault="00097E85">
            <w:pPr>
              <w:pStyle w:val="ListParagraph"/>
              <w:ind w:left="0"/>
            </w:pPr>
            <w:r>
              <w:lastRenderedPageBreak/>
              <w:t>PEPM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D560" w14:textId="77777777" w:rsidR="00097E85" w:rsidRDefault="00097E85">
            <w:pPr>
              <w:pStyle w:val="ListParagraph"/>
              <w:ind w:left="0"/>
            </w:pPr>
            <w:r>
              <w:t>$7.65</w:t>
            </w:r>
          </w:p>
        </w:tc>
      </w:tr>
      <w:tr w:rsidR="00097E85" w14:paraId="308211DA" w14:textId="77777777" w:rsidTr="00097E85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FF99" w14:textId="77777777" w:rsidR="00097E85" w:rsidRDefault="00097E85">
            <w:pPr>
              <w:pStyle w:val="ListParagraph"/>
              <w:ind w:left="0"/>
            </w:pPr>
            <w:r>
              <w:t>Approximate annual cost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4F39" w14:textId="77777777" w:rsidR="00097E85" w:rsidRDefault="00097E85">
            <w:pPr>
              <w:pStyle w:val="ListParagraph"/>
              <w:ind w:left="0"/>
            </w:pPr>
            <w:r>
              <w:t>$55,080</w:t>
            </w:r>
          </w:p>
        </w:tc>
      </w:tr>
    </w:tbl>
    <w:p w14:paraId="08F3B15D" w14:textId="77777777" w:rsidR="00097E85" w:rsidRDefault="00097E85" w:rsidP="00097E85"/>
    <w:p w14:paraId="68D941EC" w14:textId="180DD435" w:rsidR="00097E85" w:rsidRDefault="00097E85" w:rsidP="00097E85">
      <w:r>
        <w:t>Highlights:</w:t>
      </w:r>
    </w:p>
    <w:p w14:paraId="71C2EBF3" w14:textId="77777777" w:rsidR="00097E85" w:rsidRDefault="00097E85" w:rsidP="00097E85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Unlimited Coaching Sessions </w:t>
      </w:r>
      <w:r>
        <w:rPr>
          <w:rFonts w:ascii="Arial" w:eastAsia="Times New Roman" w:hAnsi="Arial" w:cs="Arial"/>
          <w:sz w:val="20"/>
          <w:szCs w:val="20"/>
        </w:rPr>
        <w:t xml:space="preserve">- we set no session limit on our mental health coaching sessions. This allows members to utilize coaching not only when </w:t>
      </w:r>
      <w:proofErr w:type="gramStart"/>
      <w:r>
        <w:rPr>
          <w:rFonts w:ascii="Arial" w:eastAsia="Times New Roman" w:hAnsi="Arial" w:cs="Arial"/>
          <w:sz w:val="20"/>
          <w:szCs w:val="20"/>
        </w:rPr>
        <w:t>they're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struggling and looking for support, but also when things are going well and they want to work with a coach to set goals, hold themselves accountable, etc.</w:t>
      </w:r>
    </w:p>
    <w:p w14:paraId="5DE2B4B9" w14:textId="77777777" w:rsidR="00097E85" w:rsidRDefault="00097E85" w:rsidP="00097E85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Access to Therapy/Psychiatry Sessions (Avg. 2 day wait time)</w:t>
      </w:r>
      <w:r>
        <w:rPr>
          <w:rFonts w:ascii="Arial" w:eastAsia="Times New Roman" w:hAnsi="Arial" w:cs="Arial"/>
          <w:sz w:val="20"/>
          <w:szCs w:val="20"/>
        </w:rPr>
        <w:t xml:space="preserve"> - members </w:t>
      </w:r>
      <w:proofErr w:type="gramStart"/>
      <w:r>
        <w:rPr>
          <w:rFonts w:ascii="Arial" w:eastAsia="Times New Roman" w:hAnsi="Arial" w:cs="Arial"/>
          <w:sz w:val="20"/>
          <w:szCs w:val="20"/>
        </w:rPr>
        <w:t>are able 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easily access and schedule clinical sessions within our </w:t>
      </w:r>
      <w:r>
        <w:rPr>
          <w:rStyle w:val="gmail-il"/>
          <w:rFonts w:ascii="Arial" w:eastAsia="Times New Roman" w:hAnsi="Arial" w:cs="Arial"/>
          <w:sz w:val="20"/>
          <w:szCs w:val="20"/>
        </w:rPr>
        <w:t>Headspace</w:t>
      </w:r>
      <w:r>
        <w:rPr>
          <w:rFonts w:ascii="Arial" w:eastAsia="Times New Roman" w:hAnsi="Arial" w:cs="Arial"/>
          <w:sz w:val="20"/>
          <w:szCs w:val="20"/>
        </w:rPr>
        <w:t xml:space="preserve"> app, with a wait time of only 2 days on average. Each employee </w:t>
      </w:r>
      <w:proofErr w:type="gramStart"/>
      <w:r>
        <w:rPr>
          <w:rFonts w:ascii="Arial" w:eastAsia="Times New Roman" w:hAnsi="Arial" w:cs="Arial"/>
          <w:sz w:val="20"/>
          <w:szCs w:val="20"/>
        </w:rPr>
        <w:t>is able 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invite 5 family members to join as well</w:t>
      </w:r>
    </w:p>
    <w:p w14:paraId="65EDDF23" w14:textId="6AFF0C36" w:rsidR="00097E85" w:rsidRPr="00097E85" w:rsidRDefault="00097E85" w:rsidP="00097E85">
      <w:pPr>
        <w:rPr>
          <w:b/>
          <w:bCs/>
          <w:u w:val="single"/>
        </w:rPr>
      </w:pPr>
      <w:r w:rsidRPr="00097E85">
        <w:rPr>
          <w:b/>
          <w:bCs/>
          <w:u w:val="single"/>
        </w:rPr>
        <w:t>Empathia</w:t>
      </w:r>
    </w:p>
    <w:p w14:paraId="558475D7" w14:textId="55A9AD9E" w:rsidR="00097E85" w:rsidRDefault="00097E85" w:rsidP="00097E85"/>
    <w:p w14:paraId="6976718B" w14:textId="600BA836" w:rsidR="00097E85" w:rsidRDefault="00097E85" w:rsidP="00097E85">
      <w:pPr>
        <w:pStyle w:val="ListParagraph"/>
        <w:numPr>
          <w:ilvl w:val="0"/>
          <w:numId w:val="5"/>
        </w:numPr>
      </w:pPr>
      <w:r>
        <w:t>$9,000 annual cost for a range of 540-660 covered employees.</w:t>
      </w:r>
    </w:p>
    <w:p w14:paraId="3A4103CC" w14:textId="06E17450" w:rsidR="00097E85" w:rsidRDefault="00097E85" w:rsidP="00097E85">
      <w:pPr>
        <w:pStyle w:val="ListParagraph"/>
        <w:numPr>
          <w:ilvl w:val="0"/>
          <w:numId w:val="5"/>
        </w:numPr>
      </w:pPr>
      <w:r>
        <w:t>Up to three (3) sessions per issue per year.</w:t>
      </w:r>
    </w:p>
    <w:p w14:paraId="56B8E16C" w14:textId="0BF97286" w:rsidR="00097E85" w:rsidRPr="00097E85" w:rsidRDefault="00097E85" w:rsidP="00097E85">
      <w:pPr>
        <w:pStyle w:val="ListParagraph"/>
        <w:numPr>
          <w:ilvl w:val="0"/>
          <w:numId w:val="5"/>
        </w:numPr>
      </w:pPr>
      <w:r>
        <w:t>No bank of hours for training or critical incident response is included.</w:t>
      </w:r>
    </w:p>
    <w:p w14:paraId="06B842F8" w14:textId="77777777" w:rsidR="00097E85" w:rsidRDefault="00097E85" w:rsidP="00097E85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0"/>
          <w:szCs w:val="20"/>
        </w:rPr>
      </w:pPr>
    </w:p>
    <w:p w14:paraId="7EBD1D3D" w14:textId="77777777" w:rsidR="00CD1F93" w:rsidRDefault="00CD1F93"/>
    <w:sectPr w:rsidR="00CD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7C0D"/>
    <w:multiLevelType w:val="multilevel"/>
    <w:tmpl w:val="8ED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40C3C"/>
    <w:multiLevelType w:val="hybridMultilevel"/>
    <w:tmpl w:val="2118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7EB6"/>
    <w:multiLevelType w:val="hybridMultilevel"/>
    <w:tmpl w:val="68804BFE"/>
    <w:lvl w:ilvl="0" w:tplc="37A292F6">
      <w:start w:val="1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5726F"/>
    <w:multiLevelType w:val="hybridMultilevel"/>
    <w:tmpl w:val="848EBB52"/>
    <w:lvl w:ilvl="0" w:tplc="E418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8C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01E4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27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055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5149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6F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2A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A65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78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32419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7333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05595048">
    <w:abstractNumId w:val="2"/>
  </w:num>
  <w:num w:numId="5" w16cid:durableId="28227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85"/>
    <w:rsid w:val="00097E85"/>
    <w:rsid w:val="00C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CD64"/>
  <w15:chartTrackingRefBased/>
  <w15:docId w15:val="{EE1F46B4-B595-47BB-9121-AA60D2AF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85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E8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7E85"/>
    <w:pPr>
      <w:ind w:left="720"/>
    </w:pPr>
  </w:style>
  <w:style w:type="character" w:customStyle="1" w:styleId="gmail-il">
    <w:name w:val="gmail-il"/>
    <w:basedOn w:val="DefaultParagraphFont"/>
    <w:rsid w:val="0009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highspot.com/viewer/660acf607224149fbc3d2b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highspot.com/viewer/660acf47c5107ba68743f7d0" TargetMode="External"/><Relationship Id="rId5" Type="http://schemas.openxmlformats.org/officeDocument/2006/relationships/hyperlink" Target="https://view.highspot.com/viewer/660b31e372241433b683d3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Cooke</dc:creator>
  <cp:keywords/>
  <dc:description/>
  <cp:lastModifiedBy>Anna Cooke</cp:lastModifiedBy>
  <cp:revision>1</cp:revision>
  <dcterms:created xsi:type="dcterms:W3CDTF">2024-09-03T15:29:00Z</dcterms:created>
  <dcterms:modified xsi:type="dcterms:W3CDTF">2024-09-03T15:35:00Z</dcterms:modified>
</cp:coreProperties>
</file>