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B843" w14:textId="00C4330B"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C75A85">
        <w:rPr>
          <w:rFonts w:ascii="Arial" w:hAnsi="Arial" w:cs="Arial"/>
          <w:sz w:val="22"/>
          <w:szCs w:val="22"/>
        </w:rPr>
        <w:t>_____ - 2022</w:t>
      </w:r>
    </w:p>
    <w:p w14:paraId="1E8EB2AA" w14:textId="77777777" w:rsidR="00EC66DA" w:rsidRPr="00094EA5" w:rsidRDefault="00EC66DA" w:rsidP="00B11B6A">
      <w:pPr>
        <w:pStyle w:val="Title"/>
        <w:rPr>
          <w:rFonts w:ascii="Arial" w:hAnsi="Arial" w:cs="Arial"/>
          <w:sz w:val="22"/>
          <w:szCs w:val="22"/>
        </w:rPr>
      </w:pPr>
    </w:p>
    <w:p w14:paraId="6368F2CE" w14:textId="77777777" w:rsidR="00EC66DA" w:rsidRPr="00094EA5" w:rsidRDefault="00EC66DA" w:rsidP="00B11B6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BCAE0FA" w:rsidR="00C745E1" w:rsidRPr="00094EA5" w:rsidRDefault="00AF7B34" w:rsidP="00B11B6A">
      <w:pPr>
        <w:pStyle w:val="Title"/>
        <w:jc w:val="left"/>
        <w:rPr>
          <w:rFonts w:ascii="Arial" w:hAnsi="Arial" w:cs="Arial"/>
          <w:sz w:val="22"/>
          <w:szCs w:val="22"/>
        </w:rPr>
      </w:pPr>
      <w:r>
        <w:rPr>
          <w:rFonts w:ascii="Arial" w:hAnsi="Arial" w:cs="Arial"/>
          <w:sz w:val="22"/>
          <w:szCs w:val="22"/>
        </w:rPr>
        <w:t xml:space="preserve">Resolution </w:t>
      </w:r>
      <w:r w:rsidR="00DF7BD3" w:rsidRPr="00DF7BD3">
        <w:rPr>
          <w:rFonts w:ascii="Arial" w:hAnsi="Arial" w:cs="Arial"/>
          <w:sz w:val="22"/>
          <w:szCs w:val="22"/>
        </w:rPr>
        <w:t>Assigning Funds as of December 31, 202</w:t>
      </w:r>
      <w:r w:rsidR="00DF7BD3">
        <w:rPr>
          <w:rFonts w:ascii="Arial" w:hAnsi="Arial" w:cs="Arial"/>
          <w:sz w:val="22"/>
          <w:szCs w:val="22"/>
        </w:rPr>
        <w:t>1</w:t>
      </w:r>
      <w:r w:rsidR="00DF7BD3" w:rsidRPr="00DF7BD3">
        <w:rPr>
          <w:rFonts w:ascii="Arial" w:hAnsi="Arial" w:cs="Arial"/>
          <w:sz w:val="22"/>
          <w:szCs w:val="22"/>
        </w:rPr>
        <w:t xml:space="preserve"> and Amending the 202</w:t>
      </w:r>
      <w:r w:rsidR="004440C4">
        <w:rPr>
          <w:rFonts w:ascii="Arial" w:hAnsi="Arial" w:cs="Arial"/>
          <w:sz w:val="22"/>
          <w:szCs w:val="22"/>
        </w:rPr>
        <w:t>1</w:t>
      </w:r>
      <w:r w:rsidR="00DF7BD3">
        <w:rPr>
          <w:rFonts w:ascii="Arial" w:hAnsi="Arial" w:cs="Arial"/>
          <w:sz w:val="22"/>
          <w:szCs w:val="22"/>
        </w:rPr>
        <w:t xml:space="preserve"> B</w:t>
      </w:r>
      <w:r w:rsidR="00DF7BD3" w:rsidRPr="00DF7BD3">
        <w:rPr>
          <w:rFonts w:ascii="Arial" w:hAnsi="Arial" w:cs="Arial"/>
          <w:sz w:val="22"/>
          <w:szCs w:val="22"/>
        </w:rPr>
        <w:t>udget</w:t>
      </w:r>
    </w:p>
    <w:p w14:paraId="740B358D" w14:textId="11CD3488" w:rsidR="00BC55B4" w:rsidRDefault="00BC55B4" w:rsidP="00B11B6A">
      <w:pPr>
        <w:pStyle w:val="Title"/>
        <w:jc w:val="left"/>
        <w:rPr>
          <w:rFonts w:ascii="Arial" w:hAnsi="Arial" w:cs="Arial"/>
          <w:sz w:val="22"/>
          <w:szCs w:val="22"/>
        </w:rPr>
      </w:pPr>
    </w:p>
    <w:p w14:paraId="0864F224" w14:textId="130EC1C7" w:rsidR="00BC55B4" w:rsidRPr="004977A5" w:rsidRDefault="00BC55B4" w:rsidP="00B11B6A">
      <w:pPr>
        <w:pStyle w:val="Title"/>
        <w:jc w:val="left"/>
        <w:rPr>
          <w:rFonts w:ascii="Arial" w:hAnsi="Arial" w:cs="Arial"/>
          <w:sz w:val="22"/>
          <w:szCs w:val="22"/>
        </w:rPr>
      </w:pPr>
      <w:r w:rsidRPr="004977A5">
        <w:rPr>
          <w:rFonts w:ascii="Arial" w:hAnsi="Arial" w:cs="Arial"/>
          <w:sz w:val="22"/>
          <w:szCs w:val="22"/>
        </w:rPr>
        <w:t xml:space="preserve">Resolution offered by the </w:t>
      </w:r>
      <w:r w:rsidR="002E4A07">
        <w:rPr>
          <w:rFonts w:ascii="Arial" w:hAnsi="Arial" w:cs="Arial"/>
          <w:sz w:val="22"/>
          <w:szCs w:val="22"/>
        </w:rPr>
        <w:t>Finance</w:t>
      </w:r>
      <w:r w:rsidR="002A3B41">
        <w:rPr>
          <w:rFonts w:ascii="Arial" w:hAnsi="Arial" w:cs="Arial"/>
          <w:sz w:val="22"/>
          <w:szCs w:val="22"/>
        </w:rPr>
        <w:t xml:space="preserve"> </w:t>
      </w:r>
      <w:r w:rsidRPr="004977A5">
        <w:rPr>
          <w:rFonts w:ascii="Arial" w:hAnsi="Arial" w:cs="Arial"/>
          <w:sz w:val="22"/>
          <w:szCs w:val="22"/>
        </w:rPr>
        <w:t>Committee</w:t>
      </w:r>
    </w:p>
    <w:p w14:paraId="23879A64" w14:textId="77777777" w:rsidR="00FD79AB" w:rsidRPr="00094EA5" w:rsidRDefault="00FD79AB" w:rsidP="00B11B6A">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B11B6A">
      <w:pPr>
        <w:rPr>
          <w:rFonts w:ascii="Arial" w:hAnsi="Arial" w:cs="Arial"/>
          <w:sz w:val="22"/>
          <w:szCs w:val="22"/>
        </w:rPr>
      </w:pPr>
    </w:p>
    <w:p w14:paraId="1FF105F3" w14:textId="43A6E606" w:rsidR="00C745E1" w:rsidRPr="006F0B4B" w:rsidRDefault="00C745E1" w:rsidP="00B11B6A">
      <w:pPr>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B11B6A">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43DF22DA" w14:textId="77777777" w:rsidR="004440C4" w:rsidRDefault="00C120EA" w:rsidP="004440C4">
      <w:pPr>
        <w:rPr>
          <w:sz w:val="22"/>
        </w:rPr>
      </w:pPr>
      <w:r>
        <w:rPr>
          <w:rFonts w:ascii="Arial" w:eastAsia="Calibri" w:hAnsi="Arial" w:cs="Arial"/>
          <w:b/>
          <w:snapToGrid/>
          <w:sz w:val="22"/>
          <w:szCs w:val="22"/>
        </w:rPr>
        <w:t xml:space="preserve">BACKGROUND: </w:t>
      </w:r>
      <w:r w:rsidR="004440C4" w:rsidRPr="004440C4">
        <w:rPr>
          <w:rFonts w:ascii="Arial" w:hAnsi="Arial" w:cs="Arial"/>
          <w:sz w:val="22"/>
          <w:szCs w:val="22"/>
        </w:rPr>
        <w:t>Throughout the year, various additional funds become available that require no additional County matching funds or are expansions of existing grant funding and programs.  Also throughout the year, additional expenditures are incurred for which funding is available.  At the completion of each year’s annual financial audit after all transactions have been recorded, a final resolution is brought forward to present a summary of departments and/or funds that exceeded their annual appropriations.  This resolution authorizes amendments to the budget for those departments and/or funds that had offsetting revenues or fund balances, as well as for departments without offsetting funding and in need of a transfer from the contingency fund.</w:t>
      </w:r>
    </w:p>
    <w:p w14:paraId="6248D105" w14:textId="77777777" w:rsidR="004440C4" w:rsidRDefault="004440C4" w:rsidP="004440C4">
      <w:pPr>
        <w:rPr>
          <w:sz w:val="22"/>
        </w:rPr>
      </w:pPr>
    </w:p>
    <w:p w14:paraId="65E4E85E" w14:textId="4DF704EA" w:rsidR="00C120EA" w:rsidRDefault="004440C4" w:rsidP="004440C4">
      <w:pPr>
        <w:widowControl/>
        <w:rPr>
          <w:rFonts w:ascii="Arial" w:hAnsi="Arial" w:cs="Arial"/>
          <w:sz w:val="22"/>
          <w:szCs w:val="22"/>
        </w:rPr>
      </w:pPr>
      <w:r w:rsidRPr="007100C5">
        <w:rPr>
          <w:rFonts w:ascii="Arial" w:hAnsi="Arial" w:cs="Arial"/>
          <w:sz w:val="22"/>
          <w:szCs w:val="22"/>
        </w:rPr>
        <w:t>The 202</w:t>
      </w:r>
      <w:r w:rsidR="007100C5" w:rsidRPr="007100C5">
        <w:rPr>
          <w:rFonts w:ascii="Arial" w:hAnsi="Arial" w:cs="Arial"/>
          <w:sz w:val="22"/>
          <w:szCs w:val="22"/>
        </w:rPr>
        <w:t>1</w:t>
      </w:r>
      <w:r w:rsidRPr="007100C5">
        <w:rPr>
          <w:rFonts w:ascii="Arial" w:hAnsi="Arial" w:cs="Arial"/>
          <w:sz w:val="22"/>
          <w:szCs w:val="22"/>
        </w:rPr>
        <w:t xml:space="preserve"> contingency fund was originally budgeted at $</w:t>
      </w:r>
      <w:r w:rsidR="007100C5" w:rsidRPr="007100C5">
        <w:rPr>
          <w:rFonts w:ascii="Arial" w:hAnsi="Arial" w:cs="Arial"/>
          <w:sz w:val="22"/>
          <w:szCs w:val="22"/>
        </w:rPr>
        <w:t>43</w:t>
      </w:r>
      <w:r w:rsidRPr="007100C5">
        <w:rPr>
          <w:rFonts w:ascii="Arial" w:hAnsi="Arial" w:cs="Arial"/>
          <w:sz w:val="22"/>
          <w:szCs w:val="22"/>
        </w:rPr>
        <w:t>0,000, funded completely by General Fund balance.  During 202</w:t>
      </w:r>
      <w:r w:rsidR="007100C5" w:rsidRPr="007100C5">
        <w:rPr>
          <w:rFonts w:ascii="Arial" w:hAnsi="Arial" w:cs="Arial"/>
          <w:sz w:val="22"/>
          <w:szCs w:val="22"/>
        </w:rPr>
        <w:t>1</w:t>
      </w:r>
      <w:r w:rsidRPr="007100C5">
        <w:rPr>
          <w:rFonts w:ascii="Arial" w:hAnsi="Arial" w:cs="Arial"/>
          <w:sz w:val="22"/>
          <w:szCs w:val="22"/>
        </w:rPr>
        <w:t>, $1</w:t>
      </w:r>
      <w:r w:rsidR="007100C5" w:rsidRPr="007100C5">
        <w:rPr>
          <w:rFonts w:ascii="Arial" w:hAnsi="Arial" w:cs="Arial"/>
          <w:sz w:val="22"/>
          <w:szCs w:val="22"/>
        </w:rPr>
        <w:t>20</w:t>
      </w:r>
      <w:r w:rsidRPr="007100C5">
        <w:rPr>
          <w:rFonts w:ascii="Arial" w:hAnsi="Arial" w:cs="Arial"/>
          <w:sz w:val="22"/>
          <w:szCs w:val="22"/>
        </w:rPr>
        <w:t>,000 was already transferred from the contingency fund, leaving $</w:t>
      </w:r>
      <w:r w:rsidR="007100C5" w:rsidRPr="007100C5">
        <w:rPr>
          <w:rFonts w:ascii="Arial" w:hAnsi="Arial" w:cs="Arial"/>
          <w:sz w:val="22"/>
          <w:szCs w:val="22"/>
        </w:rPr>
        <w:t>310</w:t>
      </w:r>
      <w:r w:rsidRPr="007100C5">
        <w:rPr>
          <w:rFonts w:ascii="Arial" w:hAnsi="Arial" w:cs="Arial"/>
          <w:sz w:val="22"/>
          <w:szCs w:val="22"/>
        </w:rPr>
        <w:t>,000 available for overdrawn departments</w:t>
      </w:r>
      <w:r w:rsidR="00060DE6">
        <w:rPr>
          <w:rFonts w:ascii="Arial" w:hAnsi="Arial" w:cs="Arial"/>
          <w:sz w:val="22"/>
          <w:szCs w:val="22"/>
        </w:rPr>
        <w:t>.</w:t>
      </w:r>
    </w:p>
    <w:p w14:paraId="1884727B" w14:textId="043BF0A6" w:rsidR="00B75C7E" w:rsidRDefault="00B75C7E" w:rsidP="004440C4">
      <w:pPr>
        <w:widowControl/>
        <w:rPr>
          <w:rFonts w:ascii="Arial" w:hAnsi="Arial" w:cs="Arial"/>
          <w:sz w:val="22"/>
          <w:szCs w:val="22"/>
        </w:rPr>
      </w:pPr>
    </w:p>
    <w:p w14:paraId="0A8BB626" w14:textId="764F1FCA" w:rsidR="00B75C7E" w:rsidRDefault="00B75C7E" w:rsidP="004440C4">
      <w:pPr>
        <w:widowControl/>
        <w:rPr>
          <w:rFonts w:ascii="Arial" w:hAnsi="Arial" w:cs="Arial"/>
          <w:sz w:val="22"/>
          <w:szCs w:val="22"/>
        </w:rPr>
      </w:pPr>
      <w:r>
        <w:rPr>
          <w:rFonts w:ascii="Arial" w:hAnsi="Arial" w:cs="Arial"/>
          <w:sz w:val="22"/>
          <w:szCs w:val="22"/>
        </w:rPr>
        <w:t>F</w:t>
      </w:r>
      <w:r w:rsidR="00C83CE3">
        <w:rPr>
          <w:rFonts w:ascii="Arial" w:hAnsi="Arial" w:cs="Arial"/>
          <w:sz w:val="22"/>
          <w:szCs w:val="22"/>
        </w:rPr>
        <w:t>urther, during consideration of</w:t>
      </w:r>
      <w:r>
        <w:rPr>
          <w:rFonts w:ascii="Arial" w:hAnsi="Arial" w:cs="Arial"/>
          <w:sz w:val="22"/>
          <w:szCs w:val="22"/>
        </w:rPr>
        <w:t xml:space="preserve"> bond issuance for construction of Highway facilities and related</w:t>
      </w:r>
      <w:r w:rsidR="00C83CE3">
        <w:rPr>
          <w:rFonts w:ascii="Arial" w:hAnsi="Arial" w:cs="Arial"/>
          <w:sz w:val="22"/>
          <w:szCs w:val="22"/>
        </w:rPr>
        <w:t xml:space="preserve"> equipment purchases, the Board of Supervisors authorized up to $50 million of debt issuance for these projects.  Actual issuance of debt was $45 million with the understanding that the remaining $5 million be funded by General Fund balance if needed.</w:t>
      </w:r>
    </w:p>
    <w:p w14:paraId="54836D03" w14:textId="77777777" w:rsidR="00C83CE3" w:rsidRPr="007100C5" w:rsidRDefault="00C83CE3" w:rsidP="004440C4">
      <w:pPr>
        <w:widowControl/>
        <w:rPr>
          <w:rFonts w:ascii="Arial" w:hAnsi="Arial" w:cs="Arial"/>
          <w:color w:val="FF0000"/>
          <w:sz w:val="22"/>
          <w:szCs w:val="22"/>
        </w:rPr>
      </w:pPr>
    </w:p>
    <w:p w14:paraId="62B5715F" w14:textId="05D33138" w:rsidR="00C120EA" w:rsidRPr="007100C5" w:rsidRDefault="00C120EA" w:rsidP="00B11B6A">
      <w:pPr>
        <w:widowControl/>
        <w:rPr>
          <w:rFonts w:ascii="Arial" w:eastAsia="Calibri" w:hAnsi="Arial" w:cs="Arial"/>
          <w:b/>
          <w:snapToGrid/>
          <w:color w:val="FF0000"/>
          <w:sz w:val="22"/>
          <w:szCs w:val="22"/>
        </w:rPr>
      </w:pPr>
    </w:p>
    <w:p w14:paraId="1213E0C7" w14:textId="6ACEB0E9" w:rsidR="004440C4" w:rsidRPr="00ED522C" w:rsidRDefault="004440C4" w:rsidP="00B11B6A">
      <w:pPr>
        <w:widowControl/>
        <w:rPr>
          <w:rFonts w:ascii="Arial" w:hAnsi="Arial" w:cs="Arial"/>
          <w:sz w:val="22"/>
        </w:rPr>
      </w:pPr>
      <w:r w:rsidRPr="00ED522C">
        <w:rPr>
          <w:rFonts w:ascii="Arial" w:hAnsi="Arial" w:cs="Arial"/>
          <w:b/>
          <w:sz w:val="22"/>
        </w:rPr>
        <w:t>WHEREAS</w:t>
      </w:r>
      <w:r w:rsidRPr="00ED522C">
        <w:rPr>
          <w:rFonts w:ascii="Arial" w:hAnsi="Arial" w:cs="Arial"/>
          <w:sz w:val="22"/>
        </w:rPr>
        <w:t>, the following General Fund departments’ net budgets, expenses less revenues received, were exceeded in 202</w:t>
      </w:r>
      <w:r w:rsidR="007100C5" w:rsidRPr="00ED522C">
        <w:rPr>
          <w:rFonts w:ascii="Arial" w:hAnsi="Arial" w:cs="Arial"/>
          <w:sz w:val="22"/>
        </w:rPr>
        <w:t>1</w:t>
      </w:r>
      <w:r w:rsidRPr="00ED522C">
        <w:rPr>
          <w:rFonts w:ascii="Arial" w:hAnsi="Arial" w:cs="Arial"/>
          <w:sz w:val="22"/>
        </w:rPr>
        <w:t xml:space="preserve"> as follows:</w:t>
      </w:r>
    </w:p>
    <w:tbl>
      <w:tblPr>
        <w:tblW w:w="0" w:type="auto"/>
        <w:tblInd w:w="108" w:type="dxa"/>
        <w:tblLook w:val="0000" w:firstRow="0" w:lastRow="0" w:firstColumn="0" w:lastColumn="0" w:noHBand="0" w:noVBand="0"/>
      </w:tblPr>
      <w:tblGrid>
        <w:gridCol w:w="1402"/>
        <w:gridCol w:w="1779"/>
        <w:gridCol w:w="1588"/>
        <w:gridCol w:w="1603"/>
        <w:gridCol w:w="2880"/>
      </w:tblGrid>
      <w:tr w:rsidR="007100C5" w:rsidRPr="007100C5" w14:paraId="617039B9" w14:textId="77777777" w:rsidTr="009C6146">
        <w:tc>
          <w:tcPr>
            <w:tcW w:w="0" w:type="auto"/>
            <w:gridSpan w:val="5"/>
          </w:tcPr>
          <w:p w14:paraId="1B8BE8D7" w14:textId="77777777" w:rsidR="004440C4" w:rsidRPr="00ED522C" w:rsidRDefault="004440C4" w:rsidP="009C6146">
            <w:pPr>
              <w:pStyle w:val="TableText"/>
              <w:jc w:val="center"/>
              <w:rPr>
                <w:sz w:val="20"/>
              </w:rPr>
            </w:pPr>
            <w:r w:rsidRPr="00ED522C">
              <w:rPr>
                <w:b/>
              </w:rPr>
              <w:t>Departments Exceeding Overall Budgets</w:t>
            </w:r>
          </w:p>
        </w:tc>
      </w:tr>
      <w:tr w:rsidR="007100C5" w:rsidRPr="007100C5" w14:paraId="4EC28E55" w14:textId="77777777" w:rsidTr="00BB5D6A">
        <w:tc>
          <w:tcPr>
            <w:tcW w:w="0" w:type="auto"/>
            <w:tcBorders>
              <w:top w:val="single" w:sz="6" w:space="0" w:color="auto"/>
              <w:left w:val="single" w:sz="6" w:space="0" w:color="auto"/>
              <w:bottom w:val="single" w:sz="6" w:space="0" w:color="auto"/>
              <w:right w:val="single" w:sz="6" w:space="0" w:color="auto"/>
            </w:tcBorders>
            <w:vAlign w:val="center"/>
          </w:tcPr>
          <w:p w14:paraId="29636233" w14:textId="77777777" w:rsidR="004440C4" w:rsidRPr="00ED522C" w:rsidRDefault="004440C4" w:rsidP="009C6146">
            <w:pPr>
              <w:pStyle w:val="TableText"/>
              <w:jc w:val="center"/>
              <w:rPr>
                <w:b/>
                <w:sz w:val="22"/>
              </w:rPr>
            </w:pPr>
            <w:r w:rsidRPr="00ED522C">
              <w:rPr>
                <w:b/>
                <w:sz w:val="22"/>
              </w:rPr>
              <w:t>Contingency Transfer Amount</w:t>
            </w:r>
          </w:p>
        </w:tc>
        <w:tc>
          <w:tcPr>
            <w:tcW w:w="1779" w:type="dxa"/>
            <w:tcBorders>
              <w:top w:val="single" w:sz="6" w:space="0" w:color="auto"/>
              <w:left w:val="single" w:sz="6" w:space="0" w:color="auto"/>
              <w:bottom w:val="single" w:sz="6" w:space="0" w:color="auto"/>
              <w:right w:val="single" w:sz="6" w:space="0" w:color="auto"/>
            </w:tcBorders>
            <w:vAlign w:val="center"/>
          </w:tcPr>
          <w:p w14:paraId="64BAF8E5" w14:textId="77777777" w:rsidR="004440C4" w:rsidRPr="00ED522C" w:rsidRDefault="004440C4" w:rsidP="009C6146">
            <w:pPr>
              <w:pStyle w:val="TableText"/>
              <w:jc w:val="center"/>
              <w:rPr>
                <w:b/>
                <w:sz w:val="22"/>
              </w:rPr>
            </w:pPr>
            <w:r w:rsidRPr="00ED522C">
              <w:rPr>
                <w:b/>
                <w:sz w:val="22"/>
              </w:rPr>
              <w:t>Percent of Budget</w:t>
            </w:r>
          </w:p>
        </w:tc>
        <w:tc>
          <w:tcPr>
            <w:tcW w:w="1588" w:type="dxa"/>
            <w:tcBorders>
              <w:top w:val="single" w:sz="6" w:space="0" w:color="auto"/>
              <w:left w:val="single" w:sz="6" w:space="0" w:color="auto"/>
              <w:bottom w:val="single" w:sz="6" w:space="0" w:color="auto"/>
              <w:right w:val="single" w:sz="6" w:space="0" w:color="auto"/>
            </w:tcBorders>
            <w:vAlign w:val="center"/>
          </w:tcPr>
          <w:p w14:paraId="73EB5622" w14:textId="77777777" w:rsidR="004440C4" w:rsidRPr="00ED522C" w:rsidRDefault="004440C4" w:rsidP="009C6146">
            <w:pPr>
              <w:pStyle w:val="TableText"/>
              <w:jc w:val="center"/>
              <w:rPr>
                <w:b/>
                <w:sz w:val="22"/>
              </w:rPr>
            </w:pPr>
            <w:r w:rsidRPr="00ED522C">
              <w:rPr>
                <w:b/>
                <w:sz w:val="22"/>
              </w:rPr>
              <w:t>Expenditure Budget Exceeded</w:t>
            </w:r>
          </w:p>
        </w:tc>
        <w:tc>
          <w:tcPr>
            <w:tcW w:w="1603" w:type="dxa"/>
            <w:tcBorders>
              <w:top w:val="single" w:sz="6" w:space="0" w:color="auto"/>
              <w:left w:val="single" w:sz="6" w:space="0" w:color="auto"/>
              <w:bottom w:val="single" w:sz="6" w:space="0" w:color="auto"/>
              <w:right w:val="single" w:sz="6" w:space="0" w:color="auto"/>
            </w:tcBorders>
            <w:vAlign w:val="center"/>
          </w:tcPr>
          <w:p w14:paraId="26545A9A" w14:textId="77777777" w:rsidR="004440C4" w:rsidRPr="00ED522C" w:rsidRDefault="004440C4" w:rsidP="009C6146">
            <w:pPr>
              <w:pStyle w:val="TableText"/>
              <w:jc w:val="center"/>
              <w:rPr>
                <w:b/>
                <w:sz w:val="22"/>
              </w:rPr>
            </w:pPr>
            <w:r w:rsidRPr="00ED522C">
              <w:rPr>
                <w:b/>
                <w:sz w:val="22"/>
              </w:rPr>
              <w:t>Department</w:t>
            </w:r>
          </w:p>
        </w:tc>
        <w:tc>
          <w:tcPr>
            <w:tcW w:w="2880" w:type="dxa"/>
            <w:tcBorders>
              <w:top w:val="single" w:sz="6" w:space="0" w:color="auto"/>
              <w:left w:val="single" w:sz="6" w:space="0" w:color="auto"/>
              <w:bottom w:val="single" w:sz="6" w:space="0" w:color="auto"/>
              <w:right w:val="single" w:sz="6" w:space="0" w:color="auto"/>
            </w:tcBorders>
            <w:vAlign w:val="center"/>
          </w:tcPr>
          <w:p w14:paraId="0D24905A" w14:textId="77777777" w:rsidR="004440C4" w:rsidRPr="00E3509A" w:rsidRDefault="004440C4" w:rsidP="009C6146">
            <w:pPr>
              <w:pStyle w:val="TableText"/>
              <w:jc w:val="center"/>
              <w:rPr>
                <w:b/>
                <w:sz w:val="22"/>
              </w:rPr>
            </w:pPr>
            <w:r w:rsidRPr="00E3509A">
              <w:rPr>
                <w:b/>
                <w:sz w:val="22"/>
              </w:rPr>
              <w:t>Primary Reason for Variance</w:t>
            </w:r>
          </w:p>
        </w:tc>
      </w:tr>
      <w:tr w:rsidR="007100C5" w:rsidRPr="007100C5" w14:paraId="4BD8219C" w14:textId="77777777" w:rsidTr="00BB5D6A">
        <w:tc>
          <w:tcPr>
            <w:tcW w:w="0" w:type="auto"/>
            <w:tcBorders>
              <w:top w:val="single" w:sz="6" w:space="0" w:color="auto"/>
              <w:left w:val="single" w:sz="6" w:space="0" w:color="auto"/>
              <w:bottom w:val="single" w:sz="6" w:space="0" w:color="auto"/>
              <w:right w:val="single" w:sz="6" w:space="0" w:color="auto"/>
            </w:tcBorders>
            <w:vAlign w:val="center"/>
          </w:tcPr>
          <w:p w14:paraId="308947D3" w14:textId="49A3AC66" w:rsidR="004440C4" w:rsidRPr="00BB5D6A" w:rsidRDefault="004440C4" w:rsidP="009C6146">
            <w:pPr>
              <w:pStyle w:val="TableText"/>
              <w:rPr>
                <w:sz w:val="22"/>
                <w:szCs w:val="22"/>
              </w:rPr>
            </w:pPr>
            <w:r w:rsidRPr="00BB5D6A">
              <w:rPr>
                <w:sz w:val="22"/>
                <w:szCs w:val="22"/>
              </w:rPr>
              <w:t>$</w:t>
            </w:r>
            <w:r w:rsidR="00BB5D6A" w:rsidRPr="00BB5D6A">
              <w:rPr>
                <w:sz w:val="22"/>
                <w:szCs w:val="22"/>
              </w:rPr>
              <w:t>235</w:t>
            </w:r>
            <w:r w:rsidRPr="00BB5D6A">
              <w:rPr>
                <w:sz w:val="22"/>
                <w:szCs w:val="22"/>
              </w:rPr>
              <w:t>,</w:t>
            </w:r>
            <w:r w:rsidR="00BB5D6A" w:rsidRPr="00BB5D6A">
              <w:rPr>
                <w:sz w:val="22"/>
                <w:szCs w:val="22"/>
              </w:rPr>
              <w:t>8</w:t>
            </w:r>
            <w:r w:rsidR="001F39A6">
              <w:rPr>
                <w:sz w:val="22"/>
                <w:szCs w:val="22"/>
              </w:rPr>
              <w:t>49</w:t>
            </w:r>
          </w:p>
        </w:tc>
        <w:tc>
          <w:tcPr>
            <w:tcW w:w="1779" w:type="dxa"/>
            <w:tcBorders>
              <w:top w:val="single" w:sz="6" w:space="0" w:color="auto"/>
              <w:left w:val="single" w:sz="6" w:space="0" w:color="auto"/>
              <w:bottom w:val="single" w:sz="6" w:space="0" w:color="auto"/>
              <w:right w:val="single" w:sz="6" w:space="0" w:color="auto"/>
            </w:tcBorders>
            <w:vAlign w:val="center"/>
          </w:tcPr>
          <w:p w14:paraId="1D954930" w14:textId="05900561" w:rsidR="004440C4" w:rsidRPr="00BB5D6A" w:rsidRDefault="00BB5D6A" w:rsidP="009C6146">
            <w:pPr>
              <w:pStyle w:val="TableText"/>
              <w:jc w:val="center"/>
              <w:rPr>
                <w:sz w:val="22"/>
                <w:szCs w:val="22"/>
              </w:rPr>
            </w:pPr>
            <w:r w:rsidRPr="00BB5D6A">
              <w:rPr>
                <w:sz w:val="22"/>
                <w:szCs w:val="22"/>
              </w:rPr>
              <w:t>31.64</w:t>
            </w:r>
            <w:r w:rsidR="004440C4" w:rsidRPr="00BB5D6A">
              <w:rPr>
                <w:sz w:val="22"/>
                <w:szCs w:val="22"/>
              </w:rPr>
              <w:t>%</w:t>
            </w:r>
          </w:p>
        </w:tc>
        <w:tc>
          <w:tcPr>
            <w:tcW w:w="1588" w:type="dxa"/>
            <w:tcBorders>
              <w:top w:val="single" w:sz="6" w:space="0" w:color="auto"/>
              <w:left w:val="single" w:sz="6" w:space="0" w:color="auto"/>
              <w:bottom w:val="single" w:sz="6" w:space="0" w:color="auto"/>
              <w:right w:val="single" w:sz="6" w:space="0" w:color="auto"/>
            </w:tcBorders>
            <w:vAlign w:val="center"/>
          </w:tcPr>
          <w:p w14:paraId="0325809F" w14:textId="5B843846" w:rsidR="004440C4" w:rsidRPr="00BB5D6A" w:rsidRDefault="004440C4" w:rsidP="00060DE6">
            <w:pPr>
              <w:pStyle w:val="TableText"/>
              <w:rPr>
                <w:sz w:val="22"/>
                <w:szCs w:val="22"/>
              </w:rPr>
            </w:pPr>
            <w:r w:rsidRPr="00BB5D6A">
              <w:rPr>
                <w:sz w:val="22"/>
                <w:szCs w:val="22"/>
              </w:rPr>
              <w:t>$</w:t>
            </w:r>
            <w:r w:rsidR="00BB5D6A" w:rsidRPr="00BB5D6A">
              <w:rPr>
                <w:sz w:val="22"/>
                <w:szCs w:val="22"/>
              </w:rPr>
              <w:t>235</w:t>
            </w:r>
            <w:r w:rsidRPr="00BB5D6A">
              <w:rPr>
                <w:sz w:val="22"/>
                <w:szCs w:val="22"/>
              </w:rPr>
              <w:t>,</w:t>
            </w:r>
            <w:r w:rsidR="00BB5D6A" w:rsidRPr="00BB5D6A">
              <w:rPr>
                <w:sz w:val="22"/>
                <w:szCs w:val="22"/>
              </w:rPr>
              <w:t>324</w:t>
            </w:r>
          </w:p>
        </w:tc>
        <w:tc>
          <w:tcPr>
            <w:tcW w:w="1603" w:type="dxa"/>
            <w:tcBorders>
              <w:top w:val="single" w:sz="6" w:space="0" w:color="auto"/>
              <w:left w:val="single" w:sz="6" w:space="0" w:color="auto"/>
              <w:bottom w:val="single" w:sz="6" w:space="0" w:color="auto"/>
              <w:right w:val="single" w:sz="6" w:space="0" w:color="auto"/>
            </w:tcBorders>
            <w:vAlign w:val="center"/>
          </w:tcPr>
          <w:p w14:paraId="50C4007E" w14:textId="77777777" w:rsidR="004440C4" w:rsidRPr="00BB5D6A" w:rsidRDefault="004440C4" w:rsidP="009C6146">
            <w:pPr>
              <w:pStyle w:val="TableText"/>
              <w:jc w:val="left"/>
              <w:rPr>
                <w:sz w:val="22"/>
                <w:szCs w:val="22"/>
              </w:rPr>
            </w:pPr>
            <w:r w:rsidRPr="00BB5D6A">
              <w:rPr>
                <w:sz w:val="22"/>
                <w:szCs w:val="22"/>
              </w:rPr>
              <w:t>Corporation Counsel</w:t>
            </w:r>
          </w:p>
        </w:tc>
        <w:tc>
          <w:tcPr>
            <w:tcW w:w="2880" w:type="dxa"/>
            <w:tcBorders>
              <w:top w:val="single" w:sz="6" w:space="0" w:color="auto"/>
              <w:left w:val="single" w:sz="6" w:space="0" w:color="auto"/>
              <w:bottom w:val="single" w:sz="6" w:space="0" w:color="auto"/>
              <w:right w:val="single" w:sz="6" w:space="0" w:color="auto"/>
            </w:tcBorders>
            <w:vAlign w:val="center"/>
          </w:tcPr>
          <w:p w14:paraId="0A53CC7A" w14:textId="2FFBF588" w:rsidR="004440C4" w:rsidRPr="00E3509A" w:rsidRDefault="004440C4" w:rsidP="00E3509A">
            <w:pPr>
              <w:pStyle w:val="TableText"/>
              <w:jc w:val="left"/>
              <w:rPr>
                <w:bCs/>
                <w:sz w:val="22"/>
                <w:szCs w:val="22"/>
              </w:rPr>
            </w:pPr>
            <w:r w:rsidRPr="00E3509A">
              <w:rPr>
                <w:bCs/>
                <w:sz w:val="22"/>
                <w:szCs w:val="22"/>
              </w:rPr>
              <w:t xml:space="preserve">Increased costs for contracted counsel due to staff turnover. </w:t>
            </w:r>
          </w:p>
        </w:tc>
      </w:tr>
      <w:tr w:rsidR="007100C5" w:rsidRPr="007100C5" w14:paraId="0FDD7ADE" w14:textId="77777777" w:rsidTr="00BB5D6A">
        <w:tc>
          <w:tcPr>
            <w:tcW w:w="0" w:type="auto"/>
            <w:tcBorders>
              <w:top w:val="single" w:sz="6" w:space="0" w:color="auto"/>
              <w:left w:val="single" w:sz="6" w:space="0" w:color="auto"/>
              <w:bottom w:val="single" w:sz="6" w:space="0" w:color="auto"/>
              <w:right w:val="single" w:sz="6" w:space="0" w:color="auto"/>
            </w:tcBorders>
            <w:vAlign w:val="center"/>
          </w:tcPr>
          <w:p w14:paraId="3D8E4DD7" w14:textId="100C872F" w:rsidR="004440C4" w:rsidRPr="00BB5D6A" w:rsidRDefault="004440C4" w:rsidP="008A2794">
            <w:pPr>
              <w:pStyle w:val="TableText"/>
              <w:rPr>
                <w:sz w:val="22"/>
                <w:szCs w:val="22"/>
              </w:rPr>
            </w:pPr>
            <w:r w:rsidRPr="00BB5D6A">
              <w:rPr>
                <w:sz w:val="22"/>
                <w:szCs w:val="22"/>
              </w:rPr>
              <w:t>$</w:t>
            </w:r>
            <w:r w:rsidR="00BB5D6A" w:rsidRPr="00BB5D6A">
              <w:rPr>
                <w:sz w:val="22"/>
                <w:szCs w:val="22"/>
              </w:rPr>
              <w:t>2</w:t>
            </w:r>
            <w:r w:rsidRPr="00BB5D6A">
              <w:rPr>
                <w:sz w:val="22"/>
                <w:szCs w:val="22"/>
              </w:rPr>
              <w:t>,</w:t>
            </w:r>
            <w:r w:rsidR="00BB5D6A" w:rsidRPr="00BB5D6A">
              <w:rPr>
                <w:sz w:val="22"/>
                <w:szCs w:val="22"/>
              </w:rPr>
              <w:t>85</w:t>
            </w:r>
            <w:r w:rsidR="008A2794">
              <w:rPr>
                <w:sz w:val="22"/>
                <w:szCs w:val="22"/>
              </w:rPr>
              <w:t>6</w:t>
            </w:r>
          </w:p>
        </w:tc>
        <w:tc>
          <w:tcPr>
            <w:tcW w:w="1779" w:type="dxa"/>
            <w:tcBorders>
              <w:top w:val="single" w:sz="6" w:space="0" w:color="auto"/>
              <w:left w:val="single" w:sz="6" w:space="0" w:color="auto"/>
              <w:bottom w:val="single" w:sz="6" w:space="0" w:color="auto"/>
              <w:right w:val="single" w:sz="6" w:space="0" w:color="auto"/>
            </w:tcBorders>
            <w:vAlign w:val="center"/>
          </w:tcPr>
          <w:p w14:paraId="174D07BA" w14:textId="3F9FBC27" w:rsidR="004440C4" w:rsidRPr="00BB5D6A" w:rsidRDefault="00BB5D6A" w:rsidP="009C6146">
            <w:pPr>
              <w:pStyle w:val="TableText"/>
              <w:jc w:val="center"/>
              <w:rPr>
                <w:sz w:val="22"/>
                <w:szCs w:val="22"/>
              </w:rPr>
            </w:pPr>
            <w:r w:rsidRPr="00BB5D6A">
              <w:rPr>
                <w:sz w:val="22"/>
                <w:szCs w:val="22"/>
              </w:rPr>
              <w:t>0.99</w:t>
            </w:r>
            <w:r w:rsidR="004440C4" w:rsidRPr="00BB5D6A">
              <w:rPr>
                <w:sz w:val="22"/>
                <w:szCs w:val="22"/>
              </w:rPr>
              <w:t>%</w:t>
            </w:r>
          </w:p>
        </w:tc>
        <w:tc>
          <w:tcPr>
            <w:tcW w:w="1588" w:type="dxa"/>
            <w:tcBorders>
              <w:top w:val="single" w:sz="6" w:space="0" w:color="auto"/>
              <w:left w:val="single" w:sz="6" w:space="0" w:color="auto"/>
              <w:bottom w:val="single" w:sz="6" w:space="0" w:color="auto"/>
              <w:right w:val="single" w:sz="6" w:space="0" w:color="auto"/>
            </w:tcBorders>
            <w:vAlign w:val="center"/>
          </w:tcPr>
          <w:p w14:paraId="012E1D27" w14:textId="3995B54D" w:rsidR="004440C4" w:rsidRPr="00BB5D6A" w:rsidRDefault="004440C4" w:rsidP="00060DE6">
            <w:pPr>
              <w:pStyle w:val="TableText"/>
              <w:rPr>
                <w:sz w:val="22"/>
                <w:szCs w:val="22"/>
              </w:rPr>
            </w:pPr>
            <w:r w:rsidRPr="00BB5D6A">
              <w:rPr>
                <w:sz w:val="22"/>
                <w:szCs w:val="22"/>
              </w:rPr>
              <w:t>$</w:t>
            </w:r>
            <w:r w:rsidR="00BB5D6A" w:rsidRPr="00BB5D6A">
              <w:rPr>
                <w:sz w:val="22"/>
                <w:szCs w:val="22"/>
              </w:rPr>
              <w:t>0</w:t>
            </w:r>
          </w:p>
        </w:tc>
        <w:tc>
          <w:tcPr>
            <w:tcW w:w="1603" w:type="dxa"/>
            <w:tcBorders>
              <w:top w:val="single" w:sz="6" w:space="0" w:color="auto"/>
              <w:left w:val="single" w:sz="6" w:space="0" w:color="auto"/>
              <w:bottom w:val="single" w:sz="6" w:space="0" w:color="auto"/>
              <w:right w:val="single" w:sz="6" w:space="0" w:color="auto"/>
            </w:tcBorders>
            <w:vAlign w:val="center"/>
          </w:tcPr>
          <w:p w14:paraId="61210595" w14:textId="77777777" w:rsidR="004440C4" w:rsidRPr="00BB5D6A" w:rsidRDefault="004440C4" w:rsidP="009C6146">
            <w:pPr>
              <w:pStyle w:val="TableText"/>
              <w:jc w:val="left"/>
              <w:rPr>
                <w:sz w:val="22"/>
                <w:szCs w:val="22"/>
              </w:rPr>
            </w:pPr>
            <w:r w:rsidRPr="00BB5D6A">
              <w:rPr>
                <w:sz w:val="22"/>
                <w:szCs w:val="22"/>
              </w:rPr>
              <w:t>Court Commissioner</w:t>
            </w:r>
          </w:p>
        </w:tc>
        <w:tc>
          <w:tcPr>
            <w:tcW w:w="2880" w:type="dxa"/>
            <w:tcBorders>
              <w:top w:val="single" w:sz="6" w:space="0" w:color="auto"/>
              <w:left w:val="single" w:sz="6" w:space="0" w:color="auto"/>
              <w:bottom w:val="single" w:sz="6" w:space="0" w:color="auto"/>
              <w:right w:val="single" w:sz="6" w:space="0" w:color="auto"/>
            </w:tcBorders>
            <w:vAlign w:val="center"/>
          </w:tcPr>
          <w:p w14:paraId="4AE0099C" w14:textId="6EC69F6B" w:rsidR="00E3509A" w:rsidRPr="008B2A83" w:rsidRDefault="00E3509A" w:rsidP="00E3509A">
            <w:pPr>
              <w:pStyle w:val="TableText"/>
              <w:jc w:val="left"/>
              <w:rPr>
                <w:bCs/>
                <w:sz w:val="22"/>
                <w:szCs w:val="22"/>
              </w:rPr>
            </w:pPr>
            <w:r w:rsidRPr="008B2A83">
              <w:rPr>
                <w:bCs/>
                <w:sz w:val="22"/>
                <w:szCs w:val="22"/>
              </w:rPr>
              <w:t>Revenues are down due to staff turnover.</w:t>
            </w:r>
          </w:p>
        </w:tc>
      </w:tr>
      <w:tr w:rsidR="007100C5" w:rsidRPr="007100C5" w14:paraId="04176277" w14:textId="77777777" w:rsidTr="00BB5D6A">
        <w:tc>
          <w:tcPr>
            <w:tcW w:w="0" w:type="auto"/>
            <w:tcBorders>
              <w:top w:val="single" w:sz="6" w:space="0" w:color="auto"/>
              <w:left w:val="single" w:sz="6" w:space="0" w:color="auto"/>
              <w:bottom w:val="single" w:sz="6" w:space="0" w:color="auto"/>
              <w:right w:val="single" w:sz="6" w:space="0" w:color="auto"/>
            </w:tcBorders>
            <w:vAlign w:val="center"/>
          </w:tcPr>
          <w:p w14:paraId="3EBF5E48" w14:textId="15FCF794" w:rsidR="004440C4" w:rsidRPr="00BB5D6A" w:rsidRDefault="004440C4" w:rsidP="009C6146">
            <w:pPr>
              <w:pStyle w:val="TableText"/>
              <w:rPr>
                <w:sz w:val="22"/>
                <w:szCs w:val="22"/>
              </w:rPr>
            </w:pPr>
            <w:r w:rsidRPr="00BB5D6A">
              <w:rPr>
                <w:sz w:val="22"/>
                <w:szCs w:val="22"/>
              </w:rPr>
              <w:t>$</w:t>
            </w:r>
            <w:r w:rsidR="00BB5D6A" w:rsidRPr="00BB5D6A">
              <w:rPr>
                <w:sz w:val="22"/>
                <w:szCs w:val="22"/>
              </w:rPr>
              <w:t>38,003</w:t>
            </w:r>
          </w:p>
        </w:tc>
        <w:tc>
          <w:tcPr>
            <w:tcW w:w="1779" w:type="dxa"/>
            <w:tcBorders>
              <w:top w:val="single" w:sz="6" w:space="0" w:color="auto"/>
              <w:left w:val="single" w:sz="6" w:space="0" w:color="auto"/>
              <w:bottom w:val="single" w:sz="6" w:space="0" w:color="auto"/>
              <w:right w:val="single" w:sz="6" w:space="0" w:color="auto"/>
            </w:tcBorders>
            <w:vAlign w:val="center"/>
          </w:tcPr>
          <w:p w14:paraId="4E90BC82" w14:textId="6C5F2179" w:rsidR="004440C4" w:rsidRPr="00BB5D6A" w:rsidRDefault="00BB5D6A" w:rsidP="009C6146">
            <w:pPr>
              <w:pStyle w:val="TableText"/>
              <w:jc w:val="center"/>
              <w:rPr>
                <w:sz w:val="22"/>
                <w:szCs w:val="22"/>
              </w:rPr>
            </w:pPr>
            <w:r w:rsidRPr="00BB5D6A">
              <w:rPr>
                <w:sz w:val="22"/>
                <w:szCs w:val="22"/>
              </w:rPr>
              <w:t>12.18</w:t>
            </w:r>
            <w:r w:rsidR="004440C4" w:rsidRPr="00BB5D6A">
              <w:rPr>
                <w:sz w:val="22"/>
                <w:szCs w:val="22"/>
              </w:rPr>
              <w:t>%</w:t>
            </w:r>
          </w:p>
        </w:tc>
        <w:tc>
          <w:tcPr>
            <w:tcW w:w="1588" w:type="dxa"/>
            <w:tcBorders>
              <w:top w:val="single" w:sz="6" w:space="0" w:color="auto"/>
              <w:left w:val="single" w:sz="6" w:space="0" w:color="auto"/>
              <w:bottom w:val="single" w:sz="6" w:space="0" w:color="auto"/>
              <w:right w:val="single" w:sz="6" w:space="0" w:color="auto"/>
            </w:tcBorders>
            <w:vAlign w:val="center"/>
          </w:tcPr>
          <w:p w14:paraId="219CA497" w14:textId="77777777" w:rsidR="004440C4" w:rsidRPr="00BB5D6A" w:rsidRDefault="004440C4" w:rsidP="00060DE6">
            <w:pPr>
              <w:pStyle w:val="TableText"/>
              <w:rPr>
                <w:sz w:val="22"/>
                <w:szCs w:val="22"/>
              </w:rPr>
            </w:pPr>
            <w:r w:rsidRPr="00BB5D6A">
              <w:rPr>
                <w:sz w:val="22"/>
                <w:szCs w:val="22"/>
              </w:rPr>
              <w:t>$0</w:t>
            </w:r>
          </w:p>
        </w:tc>
        <w:tc>
          <w:tcPr>
            <w:tcW w:w="1603" w:type="dxa"/>
            <w:tcBorders>
              <w:top w:val="single" w:sz="6" w:space="0" w:color="auto"/>
              <w:left w:val="single" w:sz="6" w:space="0" w:color="auto"/>
              <w:bottom w:val="single" w:sz="6" w:space="0" w:color="auto"/>
              <w:right w:val="single" w:sz="6" w:space="0" w:color="auto"/>
            </w:tcBorders>
            <w:vAlign w:val="center"/>
          </w:tcPr>
          <w:p w14:paraId="1162F4C6" w14:textId="77777777" w:rsidR="004440C4" w:rsidRPr="00BB5D6A" w:rsidRDefault="004440C4" w:rsidP="009C6146">
            <w:pPr>
              <w:pStyle w:val="TableText"/>
              <w:jc w:val="left"/>
              <w:rPr>
                <w:sz w:val="22"/>
                <w:szCs w:val="22"/>
              </w:rPr>
            </w:pPr>
            <w:r w:rsidRPr="00BB5D6A">
              <w:rPr>
                <w:sz w:val="22"/>
                <w:szCs w:val="22"/>
              </w:rPr>
              <w:t>Emergency Management</w:t>
            </w:r>
          </w:p>
        </w:tc>
        <w:tc>
          <w:tcPr>
            <w:tcW w:w="2880" w:type="dxa"/>
            <w:tcBorders>
              <w:top w:val="single" w:sz="6" w:space="0" w:color="auto"/>
              <w:left w:val="single" w:sz="6" w:space="0" w:color="auto"/>
              <w:bottom w:val="single" w:sz="6" w:space="0" w:color="auto"/>
              <w:right w:val="single" w:sz="6" w:space="0" w:color="auto"/>
            </w:tcBorders>
            <w:vAlign w:val="center"/>
          </w:tcPr>
          <w:p w14:paraId="1C550116" w14:textId="2F7731BD" w:rsidR="004440C4" w:rsidRPr="008B2A83" w:rsidRDefault="008B2A83" w:rsidP="009C6146">
            <w:pPr>
              <w:pStyle w:val="TableText"/>
              <w:jc w:val="left"/>
              <w:rPr>
                <w:bCs/>
                <w:sz w:val="22"/>
                <w:szCs w:val="22"/>
              </w:rPr>
            </w:pPr>
            <w:r w:rsidRPr="008B2A83">
              <w:rPr>
                <w:bCs/>
                <w:sz w:val="22"/>
                <w:szCs w:val="22"/>
              </w:rPr>
              <w:t>Flood mitigation grant proceeds not yet received.</w:t>
            </w:r>
          </w:p>
        </w:tc>
      </w:tr>
      <w:tr w:rsidR="007100C5" w:rsidRPr="007100C5" w14:paraId="09A0DA2B" w14:textId="77777777" w:rsidTr="009C6146">
        <w:trPr>
          <w:trHeight w:val="72"/>
        </w:trPr>
        <w:tc>
          <w:tcPr>
            <w:tcW w:w="0" w:type="auto"/>
            <w:tcBorders>
              <w:top w:val="single" w:sz="6" w:space="0" w:color="auto"/>
              <w:left w:val="single" w:sz="6" w:space="0" w:color="auto"/>
              <w:bottom w:val="single" w:sz="6" w:space="0" w:color="auto"/>
              <w:right w:val="single" w:sz="6" w:space="0" w:color="auto"/>
            </w:tcBorders>
          </w:tcPr>
          <w:p w14:paraId="10292EEC" w14:textId="0B692759" w:rsidR="004440C4" w:rsidRPr="00BB5D6A" w:rsidRDefault="004440C4" w:rsidP="00BB5D6A">
            <w:pPr>
              <w:pStyle w:val="TableText"/>
              <w:rPr>
                <w:sz w:val="22"/>
                <w:szCs w:val="22"/>
              </w:rPr>
            </w:pPr>
            <w:r w:rsidRPr="00BB5D6A">
              <w:rPr>
                <w:sz w:val="22"/>
                <w:szCs w:val="22"/>
              </w:rPr>
              <w:t>$2</w:t>
            </w:r>
            <w:r w:rsidR="00BB5D6A" w:rsidRPr="00BB5D6A">
              <w:rPr>
                <w:sz w:val="22"/>
                <w:szCs w:val="22"/>
              </w:rPr>
              <w:t>76</w:t>
            </w:r>
            <w:r w:rsidRPr="00BB5D6A">
              <w:rPr>
                <w:sz w:val="22"/>
                <w:szCs w:val="22"/>
              </w:rPr>
              <w:t>,</w:t>
            </w:r>
            <w:r w:rsidR="00BB5D6A" w:rsidRPr="00BB5D6A">
              <w:rPr>
                <w:sz w:val="22"/>
                <w:szCs w:val="22"/>
              </w:rPr>
              <w:t>70</w:t>
            </w:r>
            <w:r w:rsidR="008A2794">
              <w:rPr>
                <w:sz w:val="22"/>
                <w:szCs w:val="22"/>
              </w:rPr>
              <w:t>8</w:t>
            </w:r>
          </w:p>
        </w:tc>
        <w:tc>
          <w:tcPr>
            <w:tcW w:w="0" w:type="auto"/>
            <w:gridSpan w:val="4"/>
            <w:tcBorders>
              <w:top w:val="single" w:sz="6" w:space="0" w:color="auto"/>
              <w:left w:val="single" w:sz="6" w:space="0" w:color="auto"/>
              <w:bottom w:val="single" w:sz="6" w:space="0" w:color="auto"/>
              <w:right w:val="single" w:sz="6" w:space="0" w:color="auto"/>
            </w:tcBorders>
          </w:tcPr>
          <w:p w14:paraId="16F9D659" w14:textId="77777777" w:rsidR="004440C4" w:rsidRPr="00BB5D6A" w:rsidRDefault="004440C4" w:rsidP="009C6146">
            <w:pPr>
              <w:pStyle w:val="TableText"/>
              <w:jc w:val="left"/>
              <w:rPr>
                <w:sz w:val="22"/>
                <w:szCs w:val="22"/>
              </w:rPr>
            </w:pPr>
            <w:r w:rsidRPr="00BB5D6A">
              <w:rPr>
                <w:sz w:val="22"/>
                <w:szCs w:val="22"/>
              </w:rPr>
              <w:t xml:space="preserve">     Total Transfer from Contingency Fund</w:t>
            </w:r>
          </w:p>
        </w:tc>
      </w:tr>
    </w:tbl>
    <w:p w14:paraId="3EF95217" w14:textId="77777777" w:rsidR="004440C4" w:rsidRDefault="004440C4" w:rsidP="00B11B6A">
      <w:pPr>
        <w:widowControl/>
        <w:rPr>
          <w:rFonts w:ascii="Arial" w:eastAsia="Calibri" w:hAnsi="Arial" w:cs="Arial"/>
          <w:b/>
          <w:snapToGrid/>
          <w:sz w:val="22"/>
          <w:szCs w:val="22"/>
        </w:rPr>
      </w:pPr>
    </w:p>
    <w:p w14:paraId="31CC5B7F" w14:textId="77777777" w:rsidR="00C83CE3" w:rsidRDefault="00C83CE3" w:rsidP="004440C4">
      <w:pPr>
        <w:pStyle w:val="DefaultText"/>
        <w:jc w:val="both"/>
        <w:rPr>
          <w:rFonts w:ascii="Arial" w:hAnsi="Arial" w:cs="Arial"/>
          <w:b/>
          <w:sz w:val="22"/>
        </w:rPr>
      </w:pPr>
    </w:p>
    <w:p w14:paraId="1F912B93" w14:textId="77777777" w:rsidR="00C83CE3" w:rsidRDefault="00C83CE3" w:rsidP="004440C4">
      <w:pPr>
        <w:pStyle w:val="DefaultText"/>
        <w:jc w:val="both"/>
        <w:rPr>
          <w:rFonts w:ascii="Arial" w:hAnsi="Arial" w:cs="Arial"/>
          <w:b/>
          <w:sz w:val="22"/>
        </w:rPr>
      </w:pPr>
    </w:p>
    <w:p w14:paraId="7E31A328" w14:textId="77777777" w:rsidR="00C83CE3" w:rsidRDefault="00C83CE3" w:rsidP="004440C4">
      <w:pPr>
        <w:pStyle w:val="DefaultText"/>
        <w:jc w:val="both"/>
        <w:rPr>
          <w:rFonts w:ascii="Arial" w:hAnsi="Arial" w:cs="Arial"/>
          <w:b/>
          <w:sz w:val="22"/>
        </w:rPr>
      </w:pPr>
    </w:p>
    <w:p w14:paraId="699E131C" w14:textId="77777777" w:rsidR="00C83CE3" w:rsidRDefault="00C83CE3" w:rsidP="004440C4">
      <w:pPr>
        <w:pStyle w:val="DefaultText"/>
        <w:jc w:val="both"/>
        <w:rPr>
          <w:rFonts w:ascii="Arial" w:hAnsi="Arial" w:cs="Arial"/>
          <w:b/>
          <w:sz w:val="22"/>
        </w:rPr>
      </w:pPr>
    </w:p>
    <w:p w14:paraId="15F59631" w14:textId="77777777" w:rsidR="00C83CE3" w:rsidRDefault="00C83CE3" w:rsidP="004440C4">
      <w:pPr>
        <w:pStyle w:val="DefaultText"/>
        <w:jc w:val="both"/>
        <w:rPr>
          <w:rFonts w:ascii="Arial" w:hAnsi="Arial" w:cs="Arial"/>
          <w:b/>
          <w:sz w:val="22"/>
        </w:rPr>
      </w:pPr>
    </w:p>
    <w:p w14:paraId="51071EC3" w14:textId="77777777" w:rsidR="00C83CE3" w:rsidRDefault="00C83CE3" w:rsidP="004440C4">
      <w:pPr>
        <w:pStyle w:val="DefaultText"/>
        <w:jc w:val="both"/>
        <w:rPr>
          <w:rFonts w:ascii="Arial" w:hAnsi="Arial" w:cs="Arial"/>
          <w:b/>
          <w:sz w:val="22"/>
        </w:rPr>
      </w:pPr>
    </w:p>
    <w:p w14:paraId="72C0EF3F" w14:textId="77777777" w:rsidR="00C83CE3" w:rsidRDefault="00C83CE3" w:rsidP="004440C4">
      <w:pPr>
        <w:pStyle w:val="DefaultText"/>
        <w:jc w:val="both"/>
        <w:rPr>
          <w:rFonts w:ascii="Arial" w:hAnsi="Arial" w:cs="Arial"/>
          <w:b/>
          <w:sz w:val="22"/>
        </w:rPr>
      </w:pPr>
    </w:p>
    <w:p w14:paraId="05F08F14" w14:textId="4A6DD63E" w:rsidR="004440C4" w:rsidRDefault="004440C4" w:rsidP="004440C4">
      <w:pPr>
        <w:pStyle w:val="DefaultText"/>
        <w:jc w:val="both"/>
        <w:rPr>
          <w:rFonts w:ascii="Arial" w:hAnsi="Arial" w:cs="Arial"/>
          <w:sz w:val="22"/>
        </w:rPr>
      </w:pPr>
      <w:r w:rsidRPr="004440C4">
        <w:rPr>
          <w:rFonts w:ascii="Arial" w:hAnsi="Arial" w:cs="Arial"/>
          <w:b/>
          <w:sz w:val="22"/>
        </w:rPr>
        <w:lastRenderedPageBreak/>
        <w:t>WHEREAS</w:t>
      </w:r>
      <w:r w:rsidRPr="004440C4">
        <w:rPr>
          <w:rFonts w:ascii="Arial" w:hAnsi="Arial" w:cs="Arial"/>
          <w:sz w:val="22"/>
        </w:rPr>
        <w:t>, expenditure of additional funds sometimes causes a department to exceed their expenditure appropriations, while not exceeding their net budget or available fund balances, as summarized below:</w:t>
      </w:r>
    </w:p>
    <w:tbl>
      <w:tblPr>
        <w:tblW w:w="5000" w:type="pct"/>
        <w:tblLook w:val="0000" w:firstRow="0" w:lastRow="0" w:firstColumn="0" w:lastColumn="0" w:noHBand="0" w:noVBand="0"/>
      </w:tblPr>
      <w:tblGrid>
        <w:gridCol w:w="1208"/>
        <w:gridCol w:w="1507"/>
        <w:gridCol w:w="3813"/>
        <w:gridCol w:w="2832"/>
      </w:tblGrid>
      <w:tr w:rsidR="004440C4" w14:paraId="1A864F09" w14:textId="77777777" w:rsidTr="009C6146">
        <w:trPr>
          <w:tblHeader/>
        </w:trPr>
        <w:tc>
          <w:tcPr>
            <w:tcW w:w="5000" w:type="pct"/>
            <w:gridSpan w:val="4"/>
          </w:tcPr>
          <w:p w14:paraId="551E991E" w14:textId="77777777" w:rsidR="004440C4" w:rsidRDefault="004440C4" w:rsidP="009C6146">
            <w:pPr>
              <w:pStyle w:val="TableText"/>
              <w:jc w:val="center"/>
              <w:rPr>
                <w:b/>
              </w:rPr>
            </w:pPr>
            <w:r>
              <w:rPr>
                <w:b/>
              </w:rPr>
              <w:t>Departments Exceeding Expenditure Budgets,</w:t>
            </w:r>
          </w:p>
          <w:p w14:paraId="11E50891" w14:textId="77777777" w:rsidR="004440C4" w:rsidRDefault="004440C4" w:rsidP="009C6146">
            <w:pPr>
              <w:pStyle w:val="TableText"/>
              <w:jc w:val="center"/>
              <w:rPr>
                <w:sz w:val="20"/>
              </w:rPr>
            </w:pPr>
            <w:r>
              <w:rPr>
                <w:b/>
              </w:rPr>
              <w:t>But Offsetting Revenues or Fund Balances Exist</w:t>
            </w:r>
          </w:p>
        </w:tc>
      </w:tr>
      <w:tr w:rsidR="004440C4" w14:paraId="2A9066F2" w14:textId="77777777" w:rsidTr="009C6146">
        <w:trPr>
          <w:tblHeader/>
        </w:trPr>
        <w:tc>
          <w:tcPr>
            <w:tcW w:w="645" w:type="pct"/>
            <w:tcBorders>
              <w:top w:val="single" w:sz="6" w:space="0" w:color="auto"/>
              <w:left w:val="single" w:sz="6" w:space="0" w:color="auto"/>
              <w:bottom w:val="single" w:sz="6" w:space="0" w:color="auto"/>
              <w:right w:val="single" w:sz="6" w:space="0" w:color="auto"/>
            </w:tcBorders>
          </w:tcPr>
          <w:p w14:paraId="2D92D421" w14:textId="77777777" w:rsidR="004440C4" w:rsidRPr="00A121B7" w:rsidRDefault="004440C4" w:rsidP="009C6146">
            <w:pPr>
              <w:pStyle w:val="TableText"/>
              <w:jc w:val="center"/>
              <w:rPr>
                <w:b/>
                <w:sz w:val="22"/>
                <w:szCs w:val="19"/>
              </w:rPr>
            </w:pPr>
            <w:r w:rsidRPr="00A121B7">
              <w:rPr>
                <w:b/>
                <w:sz w:val="22"/>
                <w:szCs w:val="19"/>
              </w:rPr>
              <w:t>Amount</w:t>
            </w:r>
          </w:p>
        </w:tc>
        <w:tc>
          <w:tcPr>
            <w:tcW w:w="805" w:type="pct"/>
            <w:tcBorders>
              <w:top w:val="single" w:sz="6" w:space="0" w:color="auto"/>
              <w:left w:val="single" w:sz="6" w:space="0" w:color="auto"/>
              <w:bottom w:val="single" w:sz="6" w:space="0" w:color="auto"/>
              <w:right w:val="single" w:sz="6" w:space="0" w:color="auto"/>
            </w:tcBorders>
          </w:tcPr>
          <w:p w14:paraId="74E0B0E1" w14:textId="77777777" w:rsidR="004440C4" w:rsidRPr="00A121B7" w:rsidRDefault="004440C4" w:rsidP="009C6146">
            <w:pPr>
              <w:pStyle w:val="TableText"/>
              <w:jc w:val="center"/>
              <w:rPr>
                <w:b/>
                <w:sz w:val="22"/>
                <w:szCs w:val="19"/>
              </w:rPr>
            </w:pPr>
            <w:r w:rsidRPr="00A121B7">
              <w:rPr>
                <w:b/>
                <w:sz w:val="22"/>
                <w:szCs w:val="19"/>
              </w:rPr>
              <w:t>Department</w:t>
            </w:r>
          </w:p>
        </w:tc>
        <w:tc>
          <w:tcPr>
            <w:tcW w:w="2037" w:type="pct"/>
            <w:tcBorders>
              <w:top w:val="single" w:sz="6" w:space="0" w:color="auto"/>
              <w:left w:val="single" w:sz="6" w:space="0" w:color="auto"/>
              <w:bottom w:val="single" w:sz="6" w:space="0" w:color="auto"/>
              <w:right w:val="single" w:sz="6" w:space="0" w:color="auto"/>
            </w:tcBorders>
          </w:tcPr>
          <w:p w14:paraId="6AEE9F19" w14:textId="77777777" w:rsidR="004440C4" w:rsidRPr="00A121B7" w:rsidRDefault="004440C4" w:rsidP="009C6146">
            <w:pPr>
              <w:pStyle w:val="TableText"/>
              <w:jc w:val="center"/>
              <w:rPr>
                <w:b/>
                <w:sz w:val="22"/>
                <w:szCs w:val="19"/>
              </w:rPr>
            </w:pPr>
            <w:r w:rsidRPr="00A121B7">
              <w:rPr>
                <w:b/>
                <w:sz w:val="22"/>
                <w:szCs w:val="19"/>
              </w:rPr>
              <w:t>Primary Reason for Variance</w:t>
            </w:r>
          </w:p>
        </w:tc>
        <w:tc>
          <w:tcPr>
            <w:tcW w:w="1513" w:type="pct"/>
            <w:tcBorders>
              <w:top w:val="single" w:sz="6" w:space="0" w:color="auto"/>
              <w:left w:val="single" w:sz="6" w:space="0" w:color="auto"/>
              <w:bottom w:val="single" w:sz="6" w:space="0" w:color="auto"/>
              <w:right w:val="single" w:sz="6" w:space="0" w:color="auto"/>
            </w:tcBorders>
          </w:tcPr>
          <w:p w14:paraId="5F5A698E" w14:textId="3A66A269" w:rsidR="004440C4" w:rsidRPr="00A121B7" w:rsidRDefault="005B53D5" w:rsidP="009C6146">
            <w:pPr>
              <w:pStyle w:val="TableText"/>
              <w:jc w:val="center"/>
              <w:rPr>
                <w:b/>
                <w:sz w:val="22"/>
                <w:szCs w:val="19"/>
              </w:rPr>
            </w:pPr>
            <w:r>
              <w:rPr>
                <w:b/>
                <w:sz w:val="22"/>
                <w:szCs w:val="19"/>
              </w:rPr>
              <w:t>Funding</w:t>
            </w:r>
            <w:r w:rsidR="004440C4" w:rsidRPr="00A121B7">
              <w:rPr>
                <w:b/>
                <w:sz w:val="22"/>
                <w:szCs w:val="19"/>
              </w:rPr>
              <w:t xml:space="preserve"> Source</w:t>
            </w:r>
          </w:p>
        </w:tc>
      </w:tr>
      <w:tr w:rsidR="004440C4" w14:paraId="02D06D87" w14:textId="77777777" w:rsidTr="009C6146">
        <w:tc>
          <w:tcPr>
            <w:tcW w:w="645" w:type="pct"/>
            <w:tcBorders>
              <w:top w:val="single" w:sz="6" w:space="0" w:color="auto"/>
              <w:left w:val="single" w:sz="6" w:space="0" w:color="auto"/>
              <w:bottom w:val="single" w:sz="6" w:space="0" w:color="auto"/>
              <w:right w:val="single" w:sz="6" w:space="0" w:color="auto"/>
            </w:tcBorders>
          </w:tcPr>
          <w:p w14:paraId="00CA1D25" w14:textId="5FD62642" w:rsidR="004440C4" w:rsidRPr="00060DE6" w:rsidRDefault="0049742D" w:rsidP="0050155C">
            <w:pPr>
              <w:pStyle w:val="TableText"/>
              <w:rPr>
                <w:sz w:val="22"/>
                <w:szCs w:val="18"/>
              </w:rPr>
            </w:pPr>
            <w:r>
              <w:rPr>
                <w:sz w:val="22"/>
                <w:szCs w:val="18"/>
              </w:rPr>
              <w:t>$71,343</w:t>
            </w:r>
          </w:p>
        </w:tc>
        <w:tc>
          <w:tcPr>
            <w:tcW w:w="805" w:type="pct"/>
            <w:tcBorders>
              <w:top w:val="single" w:sz="6" w:space="0" w:color="auto"/>
              <w:left w:val="single" w:sz="6" w:space="0" w:color="auto"/>
              <w:bottom w:val="single" w:sz="6" w:space="0" w:color="auto"/>
              <w:right w:val="single" w:sz="6" w:space="0" w:color="auto"/>
            </w:tcBorders>
          </w:tcPr>
          <w:p w14:paraId="64CCD600" w14:textId="11499BA9" w:rsidR="004440C4" w:rsidRPr="00060DE6" w:rsidRDefault="0049742D" w:rsidP="009C6146">
            <w:pPr>
              <w:pStyle w:val="TableText"/>
              <w:jc w:val="left"/>
              <w:rPr>
                <w:sz w:val="22"/>
                <w:szCs w:val="18"/>
              </w:rPr>
            </w:pPr>
            <w:r>
              <w:rPr>
                <w:sz w:val="22"/>
                <w:szCs w:val="18"/>
              </w:rPr>
              <w:t>Administrator</w:t>
            </w:r>
          </w:p>
        </w:tc>
        <w:tc>
          <w:tcPr>
            <w:tcW w:w="2037" w:type="pct"/>
            <w:tcBorders>
              <w:top w:val="single" w:sz="6" w:space="0" w:color="auto"/>
              <w:left w:val="single" w:sz="6" w:space="0" w:color="auto"/>
              <w:bottom w:val="single" w:sz="6" w:space="0" w:color="auto"/>
              <w:right w:val="single" w:sz="6" w:space="0" w:color="auto"/>
            </w:tcBorders>
          </w:tcPr>
          <w:p w14:paraId="213ABBBC" w14:textId="2B2AF235" w:rsidR="004440C4" w:rsidRPr="00060DE6" w:rsidRDefault="00FE0CBB" w:rsidP="009C6146">
            <w:pPr>
              <w:pStyle w:val="TableText"/>
              <w:jc w:val="left"/>
              <w:rPr>
                <w:sz w:val="22"/>
                <w:szCs w:val="18"/>
              </w:rPr>
            </w:pPr>
            <w:r>
              <w:rPr>
                <w:sz w:val="22"/>
                <w:szCs w:val="18"/>
              </w:rPr>
              <w:t>Unexpected Baraboo Depot revitalization study grant.</w:t>
            </w:r>
          </w:p>
        </w:tc>
        <w:tc>
          <w:tcPr>
            <w:tcW w:w="1513" w:type="pct"/>
            <w:tcBorders>
              <w:top w:val="single" w:sz="6" w:space="0" w:color="auto"/>
              <w:left w:val="single" w:sz="6" w:space="0" w:color="auto"/>
              <w:bottom w:val="single" w:sz="6" w:space="0" w:color="auto"/>
              <w:right w:val="single" w:sz="6" w:space="0" w:color="auto"/>
            </w:tcBorders>
          </w:tcPr>
          <w:p w14:paraId="6540D24B" w14:textId="48737B82" w:rsidR="004440C4" w:rsidRPr="00060DE6" w:rsidRDefault="00FE0CBB" w:rsidP="00FE0CBB">
            <w:pPr>
              <w:pStyle w:val="TableText"/>
              <w:jc w:val="left"/>
              <w:rPr>
                <w:sz w:val="22"/>
                <w:szCs w:val="18"/>
              </w:rPr>
            </w:pPr>
            <w:r>
              <w:rPr>
                <w:sz w:val="22"/>
                <w:szCs w:val="18"/>
              </w:rPr>
              <w:t>H</w:t>
            </w:r>
            <w:r w:rsidR="005D5EB1">
              <w:rPr>
                <w:sz w:val="22"/>
                <w:szCs w:val="18"/>
              </w:rPr>
              <w:t>istorical S</w:t>
            </w:r>
            <w:r>
              <w:rPr>
                <w:sz w:val="22"/>
                <w:szCs w:val="18"/>
              </w:rPr>
              <w:t>ociety grant participation and e</w:t>
            </w:r>
            <w:r w:rsidR="0049742D">
              <w:rPr>
                <w:sz w:val="22"/>
                <w:szCs w:val="18"/>
              </w:rPr>
              <w:t>conomic development loan proceeds.</w:t>
            </w:r>
          </w:p>
        </w:tc>
      </w:tr>
      <w:tr w:rsidR="0049742D" w14:paraId="4E5B8760" w14:textId="77777777" w:rsidTr="009C6146">
        <w:tc>
          <w:tcPr>
            <w:tcW w:w="645" w:type="pct"/>
            <w:tcBorders>
              <w:top w:val="single" w:sz="6" w:space="0" w:color="auto"/>
              <w:left w:val="single" w:sz="6" w:space="0" w:color="auto"/>
              <w:bottom w:val="single" w:sz="6" w:space="0" w:color="auto"/>
              <w:right w:val="single" w:sz="6" w:space="0" w:color="auto"/>
            </w:tcBorders>
          </w:tcPr>
          <w:p w14:paraId="0612D82B" w14:textId="2B5F9553" w:rsidR="0049742D" w:rsidRPr="00060DE6" w:rsidRDefault="0049742D" w:rsidP="0049742D">
            <w:pPr>
              <w:pStyle w:val="TableText"/>
              <w:rPr>
                <w:sz w:val="22"/>
                <w:szCs w:val="18"/>
              </w:rPr>
            </w:pPr>
            <w:r w:rsidRPr="00060DE6">
              <w:rPr>
                <w:sz w:val="22"/>
                <w:szCs w:val="18"/>
              </w:rPr>
              <w:t>$5</w:t>
            </w:r>
            <w:r>
              <w:rPr>
                <w:sz w:val="22"/>
                <w:szCs w:val="18"/>
              </w:rPr>
              <w:t>2,062</w:t>
            </w:r>
          </w:p>
        </w:tc>
        <w:tc>
          <w:tcPr>
            <w:tcW w:w="805" w:type="pct"/>
            <w:tcBorders>
              <w:top w:val="single" w:sz="6" w:space="0" w:color="auto"/>
              <w:left w:val="single" w:sz="6" w:space="0" w:color="auto"/>
              <w:bottom w:val="single" w:sz="6" w:space="0" w:color="auto"/>
              <w:right w:val="single" w:sz="6" w:space="0" w:color="auto"/>
            </w:tcBorders>
          </w:tcPr>
          <w:p w14:paraId="1BFBAFAE" w14:textId="0CF04E39" w:rsidR="0049742D" w:rsidRPr="00060DE6" w:rsidRDefault="0049742D" w:rsidP="0049742D">
            <w:pPr>
              <w:pStyle w:val="TableText"/>
              <w:jc w:val="left"/>
              <w:rPr>
                <w:sz w:val="22"/>
                <w:szCs w:val="18"/>
              </w:rPr>
            </w:pPr>
            <w:r w:rsidRPr="00060DE6">
              <w:rPr>
                <w:sz w:val="22"/>
                <w:szCs w:val="18"/>
              </w:rPr>
              <w:t>Community Development Block Grant (CDBG) – Economic Development</w:t>
            </w:r>
          </w:p>
        </w:tc>
        <w:tc>
          <w:tcPr>
            <w:tcW w:w="2037" w:type="pct"/>
            <w:tcBorders>
              <w:top w:val="single" w:sz="6" w:space="0" w:color="auto"/>
              <w:left w:val="single" w:sz="6" w:space="0" w:color="auto"/>
              <w:bottom w:val="single" w:sz="6" w:space="0" w:color="auto"/>
              <w:right w:val="single" w:sz="6" w:space="0" w:color="auto"/>
            </w:tcBorders>
          </w:tcPr>
          <w:p w14:paraId="218F79AF" w14:textId="79F5959A" w:rsidR="0049742D" w:rsidRPr="00060DE6" w:rsidRDefault="0049742D" w:rsidP="0049742D">
            <w:pPr>
              <w:pStyle w:val="TableText"/>
              <w:jc w:val="left"/>
              <w:rPr>
                <w:sz w:val="22"/>
                <w:szCs w:val="18"/>
              </w:rPr>
            </w:pPr>
            <w:r w:rsidRPr="00060DE6">
              <w:rPr>
                <w:sz w:val="22"/>
                <w:szCs w:val="18"/>
              </w:rPr>
              <w:t>Expenditures for Bluffview community park made prior to reimbursement from the State.</w:t>
            </w:r>
          </w:p>
        </w:tc>
        <w:tc>
          <w:tcPr>
            <w:tcW w:w="1513" w:type="pct"/>
            <w:tcBorders>
              <w:top w:val="single" w:sz="6" w:space="0" w:color="auto"/>
              <w:left w:val="single" w:sz="6" w:space="0" w:color="auto"/>
              <w:bottom w:val="single" w:sz="6" w:space="0" w:color="auto"/>
              <w:right w:val="single" w:sz="6" w:space="0" w:color="auto"/>
            </w:tcBorders>
          </w:tcPr>
          <w:p w14:paraId="183BEF64" w14:textId="5D793E4A" w:rsidR="0049742D" w:rsidRPr="00060DE6" w:rsidRDefault="0049742D" w:rsidP="0049742D">
            <w:pPr>
              <w:pStyle w:val="TableText"/>
              <w:jc w:val="left"/>
              <w:rPr>
                <w:sz w:val="22"/>
                <w:szCs w:val="18"/>
              </w:rPr>
            </w:pPr>
            <w:r w:rsidRPr="00060DE6">
              <w:rPr>
                <w:sz w:val="22"/>
                <w:szCs w:val="18"/>
              </w:rPr>
              <w:t>Revenue reimbursement to be received in 2022.</w:t>
            </w:r>
          </w:p>
        </w:tc>
      </w:tr>
      <w:tr w:rsidR="0049742D" w14:paraId="43465D46" w14:textId="77777777" w:rsidTr="009C6146">
        <w:tc>
          <w:tcPr>
            <w:tcW w:w="645" w:type="pct"/>
            <w:tcBorders>
              <w:top w:val="single" w:sz="6" w:space="0" w:color="auto"/>
              <w:left w:val="single" w:sz="6" w:space="0" w:color="auto"/>
              <w:bottom w:val="single" w:sz="6" w:space="0" w:color="auto"/>
              <w:right w:val="single" w:sz="6" w:space="0" w:color="auto"/>
            </w:tcBorders>
          </w:tcPr>
          <w:p w14:paraId="11068533" w14:textId="510BCBF5" w:rsidR="0049742D" w:rsidRPr="00060DE6" w:rsidRDefault="0049742D" w:rsidP="0049742D">
            <w:pPr>
              <w:pStyle w:val="TableText"/>
              <w:rPr>
                <w:sz w:val="22"/>
                <w:szCs w:val="18"/>
              </w:rPr>
            </w:pPr>
            <w:r w:rsidRPr="00060DE6">
              <w:rPr>
                <w:sz w:val="22"/>
                <w:szCs w:val="18"/>
              </w:rPr>
              <w:t>$52,086</w:t>
            </w:r>
          </w:p>
        </w:tc>
        <w:tc>
          <w:tcPr>
            <w:tcW w:w="805" w:type="pct"/>
            <w:tcBorders>
              <w:top w:val="single" w:sz="6" w:space="0" w:color="auto"/>
              <w:left w:val="single" w:sz="6" w:space="0" w:color="auto"/>
              <w:bottom w:val="single" w:sz="6" w:space="0" w:color="auto"/>
              <w:right w:val="single" w:sz="6" w:space="0" w:color="auto"/>
            </w:tcBorders>
          </w:tcPr>
          <w:p w14:paraId="4230AF00" w14:textId="77777777" w:rsidR="0049742D" w:rsidRPr="00060DE6" w:rsidRDefault="0049742D" w:rsidP="0049742D">
            <w:pPr>
              <w:pStyle w:val="TableText"/>
              <w:jc w:val="left"/>
              <w:rPr>
                <w:sz w:val="22"/>
                <w:szCs w:val="18"/>
              </w:rPr>
            </w:pPr>
            <w:r w:rsidRPr="00060DE6">
              <w:rPr>
                <w:sz w:val="22"/>
                <w:szCs w:val="18"/>
              </w:rPr>
              <w:t>CDBG – Housing Rehabilitation</w:t>
            </w:r>
          </w:p>
        </w:tc>
        <w:tc>
          <w:tcPr>
            <w:tcW w:w="2037" w:type="pct"/>
            <w:tcBorders>
              <w:top w:val="single" w:sz="6" w:space="0" w:color="auto"/>
              <w:left w:val="single" w:sz="6" w:space="0" w:color="auto"/>
              <w:bottom w:val="single" w:sz="6" w:space="0" w:color="auto"/>
              <w:right w:val="single" w:sz="6" w:space="0" w:color="auto"/>
            </w:tcBorders>
          </w:tcPr>
          <w:p w14:paraId="60B669B1" w14:textId="77777777" w:rsidR="0049742D" w:rsidRPr="00060DE6" w:rsidRDefault="0049742D" w:rsidP="0049742D">
            <w:pPr>
              <w:pStyle w:val="TableText"/>
              <w:jc w:val="left"/>
              <w:rPr>
                <w:sz w:val="22"/>
                <w:szCs w:val="18"/>
              </w:rPr>
            </w:pPr>
            <w:r w:rsidRPr="00060DE6">
              <w:rPr>
                <w:sz w:val="22"/>
                <w:szCs w:val="18"/>
              </w:rPr>
              <w:t>More revolving loan recipients repaid their loans than anticipated, so more dollars were available to re-loan into the community.</w:t>
            </w:r>
          </w:p>
        </w:tc>
        <w:tc>
          <w:tcPr>
            <w:tcW w:w="1513" w:type="pct"/>
            <w:tcBorders>
              <w:top w:val="single" w:sz="6" w:space="0" w:color="auto"/>
              <w:left w:val="single" w:sz="6" w:space="0" w:color="auto"/>
              <w:bottom w:val="single" w:sz="6" w:space="0" w:color="auto"/>
              <w:right w:val="single" w:sz="6" w:space="0" w:color="auto"/>
            </w:tcBorders>
          </w:tcPr>
          <w:p w14:paraId="51018B35" w14:textId="77777777" w:rsidR="0049742D" w:rsidRPr="00060DE6" w:rsidRDefault="0049742D" w:rsidP="0049742D">
            <w:pPr>
              <w:pStyle w:val="TableText"/>
              <w:jc w:val="left"/>
              <w:rPr>
                <w:sz w:val="22"/>
                <w:szCs w:val="18"/>
              </w:rPr>
            </w:pPr>
            <w:r w:rsidRPr="00060DE6">
              <w:rPr>
                <w:sz w:val="22"/>
                <w:szCs w:val="18"/>
              </w:rPr>
              <w:t>CDBG-Housing Rehabilitation fund balance and loan repayments are available.</w:t>
            </w:r>
          </w:p>
        </w:tc>
      </w:tr>
      <w:tr w:rsidR="0049742D" w14:paraId="0CB17F2B" w14:textId="77777777" w:rsidTr="009C6146">
        <w:tc>
          <w:tcPr>
            <w:tcW w:w="645" w:type="pct"/>
            <w:tcBorders>
              <w:top w:val="single" w:sz="6" w:space="0" w:color="auto"/>
              <w:left w:val="single" w:sz="6" w:space="0" w:color="auto"/>
              <w:bottom w:val="single" w:sz="6" w:space="0" w:color="auto"/>
              <w:right w:val="single" w:sz="6" w:space="0" w:color="auto"/>
            </w:tcBorders>
          </w:tcPr>
          <w:p w14:paraId="7D752B48" w14:textId="131FD22B" w:rsidR="0049742D" w:rsidRPr="005B53D5" w:rsidRDefault="0049742D" w:rsidP="0049742D">
            <w:pPr>
              <w:pStyle w:val="TableText"/>
              <w:rPr>
                <w:sz w:val="22"/>
                <w:szCs w:val="18"/>
              </w:rPr>
            </w:pPr>
            <w:r w:rsidRPr="005B53D5">
              <w:rPr>
                <w:sz w:val="22"/>
                <w:szCs w:val="18"/>
              </w:rPr>
              <w:t>$5,151</w:t>
            </w:r>
          </w:p>
        </w:tc>
        <w:tc>
          <w:tcPr>
            <w:tcW w:w="805" w:type="pct"/>
            <w:tcBorders>
              <w:top w:val="single" w:sz="6" w:space="0" w:color="auto"/>
              <w:left w:val="single" w:sz="6" w:space="0" w:color="auto"/>
              <w:bottom w:val="single" w:sz="6" w:space="0" w:color="auto"/>
              <w:right w:val="single" w:sz="6" w:space="0" w:color="auto"/>
            </w:tcBorders>
          </w:tcPr>
          <w:p w14:paraId="130A55BB" w14:textId="77777777" w:rsidR="0049742D" w:rsidRPr="005B53D5" w:rsidRDefault="0049742D" w:rsidP="0049742D">
            <w:pPr>
              <w:pStyle w:val="TableText"/>
              <w:jc w:val="left"/>
              <w:rPr>
                <w:sz w:val="22"/>
                <w:szCs w:val="18"/>
              </w:rPr>
            </w:pPr>
            <w:r w:rsidRPr="005B53D5">
              <w:rPr>
                <w:sz w:val="22"/>
                <w:szCs w:val="18"/>
              </w:rPr>
              <w:t>County Clerk</w:t>
            </w:r>
          </w:p>
        </w:tc>
        <w:tc>
          <w:tcPr>
            <w:tcW w:w="2037" w:type="pct"/>
            <w:tcBorders>
              <w:top w:val="single" w:sz="6" w:space="0" w:color="auto"/>
              <w:left w:val="single" w:sz="6" w:space="0" w:color="auto"/>
              <w:bottom w:val="single" w:sz="6" w:space="0" w:color="auto"/>
              <w:right w:val="single" w:sz="6" w:space="0" w:color="auto"/>
            </w:tcBorders>
          </w:tcPr>
          <w:p w14:paraId="0E87A20E" w14:textId="3BD53835" w:rsidR="0049742D" w:rsidRPr="005D5EB1" w:rsidRDefault="005D5EB1" w:rsidP="0049742D">
            <w:pPr>
              <w:pStyle w:val="TableText"/>
              <w:jc w:val="left"/>
              <w:rPr>
                <w:sz w:val="22"/>
                <w:szCs w:val="18"/>
              </w:rPr>
            </w:pPr>
            <w:r w:rsidRPr="005D5EB1">
              <w:rPr>
                <w:sz w:val="22"/>
                <w:szCs w:val="18"/>
              </w:rPr>
              <w:t>Unbudgeted election security grant.</w:t>
            </w:r>
          </w:p>
        </w:tc>
        <w:tc>
          <w:tcPr>
            <w:tcW w:w="1513" w:type="pct"/>
            <w:tcBorders>
              <w:top w:val="single" w:sz="6" w:space="0" w:color="auto"/>
              <w:left w:val="single" w:sz="6" w:space="0" w:color="auto"/>
              <w:bottom w:val="single" w:sz="6" w:space="0" w:color="auto"/>
              <w:right w:val="single" w:sz="6" w:space="0" w:color="auto"/>
            </w:tcBorders>
          </w:tcPr>
          <w:p w14:paraId="0460B2A1" w14:textId="77777777" w:rsidR="0049742D" w:rsidRPr="005D5EB1" w:rsidRDefault="0049742D" w:rsidP="0049742D">
            <w:pPr>
              <w:pStyle w:val="TableText"/>
              <w:jc w:val="left"/>
              <w:rPr>
                <w:sz w:val="22"/>
                <w:szCs w:val="18"/>
              </w:rPr>
            </w:pPr>
            <w:r w:rsidRPr="005D5EB1">
              <w:rPr>
                <w:sz w:val="22"/>
                <w:szCs w:val="18"/>
              </w:rPr>
              <w:t>Election grant.</w:t>
            </w:r>
          </w:p>
        </w:tc>
      </w:tr>
      <w:tr w:rsidR="0049742D" w14:paraId="5175252D" w14:textId="77777777" w:rsidTr="009C6146">
        <w:tc>
          <w:tcPr>
            <w:tcW w:w="645" w:type="pct"/>
            <w:tcBorders>
              <w:top w:val="single" w:sz="6" w:space="0" w:color="auto"/>
              <w:left w:val="single" w:sz="6" w:space="0" w:color="auto"/>
              <w:bottom w:val="single" w:sz="6" w:space="0" w:color="auto"/>
              <w:right w:val="single" w:sz="6" w:space="0" w:color="auto"/>
            </w:tcBorders>
          </w:tcPr>
          <w:p w14:paraId="10683C56" w14:textId="48685E08" w:rsidR="0049742D" w:rsidRPr="005B53D5" w:rsidRDefault="0049742D" w:rsidP="0049742D">
            <w:pPr>
              <w:pStyle w:val="TableText"/>
              <w:rPr>
                <w:sz w:val="22"/>
                <w:szCs w:val="18"/>
              </w:rPr>
            </w:pPr>
            <w:r w:rsidRPr="005B53D5">
              <w:rPr>
                <w:sz w:val="22"/>
                <w:szCs w:val="18"/>
              </w:rPr>
              <w:t>$94</w:t>
            </w:r>
          </w:p>
        </w:tc>
        <w:tc>
          <w:tcPr>
            <w:tcW w:w="805" w:type="pct"/>
            <w:tcBorders>
              <w:top w:val="single" w:sz="6" w:space="0" w:color="auto"/>
              <w:left w:val="single" w:sz="6" w:space="0" w:color="auto"/>
              <w:bottom w:val="single" w:sz="6" w:space="0" w:color="auto"/>
              <w:right w:val="single" w:sz="6" w:space="0" w:color="auto"/>
            </w:tcBorders>
          </w:tcPr>
          <w:p w14:paraId="09DF6D10" w14:textId="77777777" w:rsidR="0049742D" w:rsidRPr="005B53D5" w:rsidRDefault="0049742D" w:rsidP="0049742D">
            <w:pPr>
              <w:pStyle w:val="TableText"/>
              <w:jc w:val="left"/>
              <w:rPr>
                <w:sz w:val="22"/>
                <w:szCs w:val="18"/>
              </w:rPr>
            </w:pPr>
            <w:r w:rsidRPr="005B53D5">
              <w:rPr>
                <w:sz w:val="22"/>
                <w:szCs w:val="18"/>
              </w:rPr>
              <w:t>Debt Service</w:t>
            </w:r>
          </w:p>
        </w:tc>
        <w:tc>
          <w:tcPr>
            <w:tcW w:w="2037" w:type="pct"/>
            <w:tcBorders>
              <w:top w:val="single" w:sz="6" w:space="0" w:color="auto"/>
              <w:left w:val="single" w:sz="6" w:space="0" w:color="auto"/>
              <w:bottom w:val="single" w:sz="6" w:space="0" w:color="auto"/>
              <w:right w:val="single" w:sz="6" w:space="0" w:color="auto"/>
            </w:tcBorders>
          </w:tcPr>
          <w:p w14:paraId="5B67ACAB" w14:textId="5A7B4469" w:rsidR="0049742D" w:rsidRPr="005B53D5" w:rsidRDefault="0049742D" w:rsidP="0049742D">
            <w:pPr>
              <w:pStyle w:val="TableText"/>
              <w:jc w:val="left"/>
              <w:rPr>
                <w:sz w:val="22"/>
                <w:szCs w:val="18"/>
              </w:rPr>
            </w:pPr>
            <w:r>
              <w:rPr>
                <w:sz w:val="22"/>
                <w:szCs w:val="18"/>
              </w:rPr>
              <w:t>Paying agent fee higher than expected for final law enforcement debt payment.</w:t>
            </w:r>
          </w:p>
        </w:tc>
        <w:tc>
          <w:tcPr>
            <w:tcW w:w="1513" w:type="pct"/>
            <w:tcBorders>
              <w:top w:val="single" w:sz="6" w:space="0" w:color="auto"/>
              <w:left w:val="single" w:sz="6" w:space="0" w:color="auto"/>
              <w:bottom w:val="single" w:sz="6" w:space="0" w:color="auto"/>
              <w:right w:val="single" w:sz="6" w:space="0" w:color="auto"/>
            </w:tcBorders>
          </w:tcPr>
          <w:p w14:paraId="3357FC41" w14:textId="77777777" w:rsidR="0049742D" w:rsidRPr="005B53D5" w:rsidRDefault="0049742D" w:rsidP="0049742D">
            <w:pPr>
              <w:pStyle w:val="TableText"/>
              <w:jc w:val="left"/>
              <w:rPr>
                <w:sz w:val="22"/>
                <w:szCs w:val="18"/>
              </w:rPr>
            </w:pPr>
            <w:r w:rsidRPr="005B53D5">
              <w:rPr>
                <w:sz w:val="22"/>
                <w:szCs w:val="18"/>
              </w:rPr>
              <w:t>Fund balance for this purpose is available.</w:t>
            </w:r>
          </w:p>
        </w:tc>
      </w:tr>
      <w:tr w:rsidR="0049742D" w14:paraId="5ADEFA3E" w14:textId="77777777" w:rsidTr="009C6146">
        <w:tc>
          <w:tcPr>
            <w:tcW w:w="645" w:type="pct"/>
            <w:tcBorders>
              <w:top w:val="single" w:sz="6" w:space="0" w:color="auto"/>
              <w:left w:val="single" w:sz="6" w:space="0" w:color="auto"/>
              <w:bottom w:val="single" w:sz="6" w:space="0" w:color="auto"/>
              <w:right w:val="single" w:sz="6" w:space="0" w:color="auto"/>
            </w:tcBorders>
          </w:tcPr>
          <w:p w14:paraId="162007D7" w14:textId="7EFF75F5" w:rsidR="0049742D" w:rsidRPr="005B53D5" w:rsidRDefault="0049742D" w:rsidP="0049742D">
            <w:pPr>
              <w:pStyle w:val="TableText"/>
              <w:rPr>
                <w:sz w:val="22"/>
                <w:szCs w:val="18"/>
              </w:rPr>
            </w:pPr>
            <w:r w:rsidRPr="005B53D5">
              <w:rPr>
                <w:sz w:val="22"/>
                <w:szCs w:val="18"/>
              </w:rPr>
              <w:t>$2,997</w:t>
            </w:r>
          </w:p>
        </w:tc>
        <w:tc>
          <w:tcPr>
            <w:tcW w:w="805" w:type="pct"/>
            <w:tcBorders>
              <w:top w:val="single" w:sz="6" w:space="0" w:color="auto"/>
              <w:left w:val="single" w:sz="6" w:space="0" w:color="auto"/>
              <w:bottom w:val="single" w:sz="6" w:space="0" w:color="auto"/>
              <w:right w:val="single" w:sz="6" w:space="0" w:color="auto"/>
            </w:tcBorders>
          </w:tcPr>
          <w:p w14:paraId="65D98A6F" w14:textId="77777777" w:rsidR="0049742D" w:rsidRPr="005B53D5" w:rsidRDefault="0049742D" w:rsidP="0049742D">
            <w:pPr>
              <w:pStyle w:val="TableText"/>
              <w:jc w:val="left"/>
              <w:rPr>
                <w:sz w:val="22"/>
                <w:szCs w:val="18"/>
              </w:rPr>
            </w:pPr>
            <w:r w:rsidRPr="005B53D5">
              <w:rPr>
                <w:sz w:val="22"/>
                <w:szCs w:val="18"/>
              </w:rPr>
              <w:t>Dog License Fund</w:t>
            </w:r>
          </w:p>
        </w:tc>
        <w:tc>
          <w:tcPr>
            <w:tcW w:w="2037" w:type="pct"/>
            <w:tcBorders>
              <w:top w:val="single" w:sz="6" w:space="0" w:color="auto"/>
              <w:left w:val="single" w:sz="6" w:space="0" w:color="auto"/>
              <w:bottom w:val="single" w:sz="6" w:space="0" w:color="auto"/>
              <w:right w:val="single" w:sz="6" w:space="0" w:color="auto"/>
            </w:tcBorders>
          </w:tcPr>
          <w:p w14:paraId="65A0C187" w14:textId="77777777" w:rsidR="0049742D" w:rsidRPr="005B53D5" w:rsidRDefault="0049742D" w:rsidP="0049742D">
            <w:pPr>
              <w:pStyle w:val="TableText"/>
              <w:jc w:val="left"/>
              <w:rPr>
                <w:sz w:val="22"/>
                <w:szCs w:val="18"/>
              </w:rPr>
            </w:pPr>
            <w:r w:rsidRPr="005B53D5">
              <w:rPr>
                <w:sz w:val="22"/>
                <w:szCs w:val="18"/>
              </w:rPr>
              <w:t>Payment of prior year’s collection to Humane Society higher than budgeted.</w:t>
            </w:r>
          </w:p>
        </w:tc>
        <w:tc>
          <w:tcPr>
            <w:tcW w:w="1513" w:type="pct"/>
            <w:tcBorders>
              <w:top w:val="single" w:sz="6" w:space="0" w:color="auto"/>
              <w:left w:val="single" w:sz="6" w:space="0" w:color="auto"/>
              <w:bottom w:val="single" w:sz="6" w:space="0" w:color="auto"/>
              <w:right w:val="single" w:sz="6" w:space="0" w:color="auto"/>
            </w:tcBorders>
          </w:tcPr>
          <w:p w14:paraId="632D45E3" w14:textId="77777777" w:rsidR="0049742D" w:rsidRPr="005B53D5" w:rsidRDefault="0049742D" w:rsidP="0049742D">
            <w:pPr>
              <w:pStyle w:val="TableText"/>
              <w:jc w:val="left"/>
              <w:rPr>
                <w:sz w:val="22"/>
                <w:szCs w:val="18"/>
              </w:rPr>
            </w:pPr>
            <w:r w:rsidRPr="005B53D5">
              <w:rPr>
                <w:sz w:val="22"/>
                <w:szCs w:val="18"/>
              </w:rPr>
              <w:t>Collections higher than anticipated.</w:t>
            </w:r>
          </w:p>
        </w:tc>
      </w:tr>
      <w:tr w:rsidR="0049742D" w14:paraId="7EC7DB95" w14:textId="77777777" w:rsidTr="009C6146">
        <w:tc>
          <w:tcPr>
            <w:tcW w:w="645" w:type="pct"/>
            <w:tcBorders>
              <w:top w:val="single" w:sz="6" w:space="0" w:color="auto"/>
              <w:left w:val="single" w:sz="6" w:space="0" w:color="auto"/>
              <w:bottom w:val="single" w:sz="6" w:space="0" w:color="auto"/>
              <w:right w:val="single" w:sz="6" w:space="0" w:color="auto"/>
            </w:tcBorders>
          </w:tcPr>
          <w:p w14:paraId="6011FF3B" w14:textId="354413EC" w:rsidR="0049742D" w:rsidRPr="005B53D5" w:rsidRDefault="0049742D" w:rsidP="0049742D">
            <w:pPr>
              <w:pStyle w:val="TableText"/>
              <w:rPr>
                <w:sz w:val="22"/>
                <w:szCs w:val="18"/>
              </w:rPr>
            </w:pPr>
            <w:r>
              <w:rPr>
                <w:sz w:val="22"/>
                <w:szCs w:val="18"/>
              </w:rPr>
              <w:t>$12,987</w:t>
            </w:r>
          </w:p>
        </w:tc>
        <w:tc>
          <w:tcPr>
            <w:tcW w:w="805" w:type="pct"/>
            <w:tcBorders>
              <w:top w:val="single" w:sz="6" w:space="0" w:color="auto"/>
              <w:left w:val="single" w:sz="6" w:space="0" w:color="auto"/>
              <w:bottom w:val="single" w:sz="6" w:space="0" w:color="auto"/>
              <w:right w:val="single" w:sz="6" w:space="0" w:color="auto"/>
            </w:tcBorders>
          </w:tcPr>
          <w:p w14:paraId="2D796FD9" w14:textId="2F3E47AF" w:rsidR="0049742D" w:rsidRPr="005B53D5" w:rsidRDefault="0049742D" w:rsidP="0049742D">
            <w:pPr>
              <w:pStyle w:val="TableText"/>
              <w:jc w:val="left"/>
              <w:rPr>
                <w:sz w:val="22"/>
                <w:szCs w:val="18"/>
              </w:rPr>
            </w:pPr>
            <w:r>
              <w:rPr>
                <w:sz w:val="22"/>
                <w:szCs w:val="18"/>
              </w:rPr>
              <w:t>Drug Seizures</w:t>
            </w:r>
          </w:p>
        </w:tc>
        <w:tc>
          <w:tcPr>
            <w:tcW w:w="2037" w:type="pct"/>
            <w:tcBorders>
              <w:top w:val="single" w:sz="6" w:space="0" w:color="auto"/>
              <w:left w:val="single" w:sz="6" w:space="0" w:color="auto"/>
              <w:bottom w:val="single" w:sz="6" w:space="0" w:color="auto"/>
              <w:right w:val="single" w:sz="6" w:space="0" w:color="auto"/>
            </w:tcBorders>
          </w:tcPr>
          <w:p w14:paraId="26C4A383" w14:textId="16D23D7F" w:rsidR="0049742D" w:rsidRPr="005B53D5" w:rsidRDefault="00783274" w:rsidP="0049742D">
            <w:pPr>
              <w:pStyle w:val="TableText"/>
              <w:jc w:val="left"/>
              <w:rPr>
                <w:sz w:val="22"/>
                <w:szCs w:val="18"/>
              </w:rPr>
            </w:pPr>
            <w:r>
              <w:rPr>
                <w:sz w:val="22"/>
                <w:szCs w:val="18"/>
              </w:rPr>
              <w:t>Expenditures of previously forfeited funds exceeded budget.</w:t>
            </w:r>
          </w:p>
        </w:tc>
        <w:tc>
          <w:tcPr>
            <w:tcW w:w="1513" w:type="pct"/>
            <w:tcBorders>
              <w:top w:val="single" w:sz="6" w:space="0" w:color="auto"/>
              <w:left w:val="single" w:sz="6" w:space="0" w:color="auto"/>
              <w:bottom w:val="single" w:sz="6" w:space="0" w:color="auto"/>
              <w:right w:val="single" w:sz="6" w:space="0" w:color="auto"/>
            </w:tcBorders>
          </w:tcPr>
          <w:p w14:paraId="60C19D99" w14:textId="3A4103B1" w:rsidR="0049742D" w:rsidRPr="005B53D5" w:rsidRDefault="0049742D" w:rsidP="0049742D">
            <w:pPr>
              <w:pStyle w:val="TableText"/>
              <w:jc w:val="left"/>
              <w:rPr>
                <w:sz w:val="22"/>
                <w:szCs w:val="18"/>
              </w:rPr>
            </w:pPr>
            <w:r w:rsidRPr="005B53D5">
              <w:rPr>
                <w:sz w:val="22"/>
                <w:szCs w:val="18"/>
              </w:rPr>
              <w:t>Fund balance for this purpose is available.</w:t>
            </w:r>
          </w:p>
        </w:tc>
      </w:tr>
      <w:tr w:rsidR="0049742D" w14:paraId="74D2F08E" w14:textId="77777777" w:rsidTr="009C6146">
        <w:tc>
          <w:tcPr>
            <w:tcW w:w="645" w:type="pct"/>
            <w:tcBorders>
              <w:top w:val="single" w:sz="6" w:space="0" w:color="auto"/>
              <w:left w:val="single" w:sz="6" w:space="0" w:color="auto"/>
              <w:bottom w:val="single" w:sz="6" w:space="0" w:color="auto"/>
              <w:right w:val="single" w:sz="6" w:space="0" w:color="auto"/>
            </w:tcBorders>
          </w:tcPr>
          <w:p w14:paraId="37330221" w14:textId="0FF3A174" w:rsidR="0049742D" w:rsidRPr="005B53D5" w:rsidRDefault="0049742D" w:rsidP="0049742D">
            <w:pPr>
              <w:pStyle w:val="TableText"/>
              <w:rPr>
                <w:sz w:val="22"/>
                <w:szCs w:val="18"/>
              </w:rPr>
            </w:pPr>
            <w:r w:rsidRPr="005B53D5">
              <w:rPr>
                <w:sz w:val="22"/>
                <w:szCs w:val="18"/>
              </w:rPr>
              <w:t>$3,432,692</w:t>
            </w:r>
          </w:p>
        </w:tc>
        <w:tc>
          <w:tcPr>
            <w:tcW w:w="805" w:type="pct"/>
            <w:tcBorders>
              <w:top w:val="single" w:sz="6" w:space="0" w:color="auto"/>
              <w:left w:val="single" w:sz="6" w:space="0" w:color="auto"/>
              <w:bottom w:val="single" w:sz="6" w:space="0" w:color="auto"/>
              <w:right w:val="single" w:sz="6" w:space="0" w:color="auto"/>
            </w:tcBorders>
          </w:tcPr>
          <w:p w14:paraId="3AE56B27" w14:textId="77777777" w:rsidR="0049742D" w:rsidRPr="005B53D5" w:rsidRDefault="0049742D" w:rsidP="0049742D">
            <w:pPr>
              <w:pStyle w:val="TableText"/>
              <w:jc w:val="left"/>
              <w:rPr>
                <w:sz w:val="22"/>
                <w:szCs w:val="18"/>
              </w:rPr>
            </w:pPr>
            <w:r w:rsidRPr="005B53D5">
              <w:rPr>
                <w:sz w:val="22"/>
                <w:szCs w:val="18"/>
              </w:rPr>
              <w:t>Human Services Fund</w:t>
            </w:r>
          </w:p>
        </w:tc>
        <w:tc>
          <w:tcPr>
            <w:tcW w:w="2037" w:type="pct"/>
            <w:tcBorders>
              <w:top w:val="single" w:sz="6" w:space="0" w:color="auto"/>
              <w:left w:val="single" w:sz="6" w:space="0" w:color="auto"/>
              <w:bottom w:val="single" w:sz="6" w:space="0" w:color="auto"/>
              <w:right w:val="single" w:sz="6" w:space="0" w:color="auto"/>
            </w:tcBorders>
          </w:tcPr>
          <w:p w14:paraId="0E4C95BB" w14:textId="558CE546" w:rsidR="0049742D" w:rsidRPr="005B53D5" w:rsidRDefault="0049742D" w:rsidP="0049742D">
            <w:pPr>
              <w:pStyle w:val="TableText"/>
              <w:jc w:val="left"/>
              <w:rPr>
                <w:sz w:val="22"/>
                <w:szCs w:val="18"/>
              </w:rPr>
            </w:pPr>
            <w:r w:rsidRPr="005B53D5">
              <w:rPr>
                <w:sz w:val="22"/>
                <w:szCs w:val="18"/>
              </w:rPr>
              <w:t>Transfer favorable 2020 yearend fund balance over maximum to the General Fund per policy.  Comprehensive Community Services enrollments increase.</w:t>
            </w:r>
          </w:p>
        </w:tc>
        <w:tc>
          <w:tcPr>
            <w:tcW w:w="1513" w:type="pct"/>
            <w:tcBorders>
              <w:top w:val="single" w:sz="6" w:space="0" w:color="auto"/>
              <w:left w:val="single" w:sz="6" w:space="0" w:color="auto"/>
              <w:bottom w:val="single" w:sz="6" w:space="0" w:color="auto"/>
              <w:right w:val="single" w:sz="6" w:space="0" w:color="auto"/>
            </w:tcBorders>
          </w:tcPr>
          <w:p w14:paraId="2B18E341" w14:textId="77777777" w:rsidR="0049742D" w:rsidRPr="005B53D5" w:rsidRDefault="0049742D" w:rsidP="0049742D">
            <w:pPr>
              <w:pStyle w:val="TableText"/>
              <w:jc w:val="left"/>
              <w:rPr>
                <w:sz w:val="22"/>
                <w:szCs w:val="18"/>
              </w:rPr>
            </w:pPr>
            <w:r w:rsidRPr="005B53D5">
              <w:rPr>
                <w:sz w:val="22"/>
                <w:szCs w:val="18"/>
              </w:rPr>
              <w:t>Human Services fund balance and additional revenues for these purposes are available.</w:t>
            </w:r>
          </w:p>
        </w:tc>
      </w:tr>
      <w:tr w:rsidR="0049742D" w14:paraId="216DD0F8" w14:textId="77777777" w:rsidTr="009C6146">
        <w:tc>
          <w:tcPr>
            <w:tcW w:w="645" w:type="pct"/>
            <w:tcBorders>
              <w:top w:val="single" w:sz="6" w:space="0" w:color="auto"/>
              <w:left w:val="single" w:sz="6" w:space="0" w:color="auto"/>
              <w:bottom w:val="single" w:sz="6" w:space="0" w:color="auto"/>
              <w:right w:val="single" w:sz="6" w:space="0" w:color="auto"/>
            </w:tcBorders>
          </w:tcPr>
          <w:p w14:paraId="33BB0B51" w14:textId="1D80E85A" w:rsidR="0049742D" w:rsidRPr="0050155C" w:rsidRDefault="0049742D" w:rsidP="0049742D">
            <w:pPr>
              <w:pStyle w:val="TableText"/>
              <w:rPr>
                <w:sz w:val="22"/>
                <w:szCs w:val="18"/>
              </w:rPr>
            </w:pPr>
            <w:r w:rsidRPr="0050155C">
              <w:rPr>
                <w:sz w:val="22"/>
                <w:szCs w:val="18"/>
              </w:rPr>
              <w:t>$64,918</w:t>
            </w:r>
          </w:p>
        </w:tc>
        <w:tc>
          <w:tcPr>
            <w:tcW w:w="805" w:type="pct"/>
            <w:tcBorders>
              <w:top w:val="single" w:sz="6" w:space="0" w:color="auto"/>
              <w:left w:val="single" w:sz="6" w:space="0" w:color="auto"/>
              <w:bottom w:val="single" w:sz="6" w:space="0" w:color="auto"/>
              <w:right w:val="single" w:sz="6" w:space="0" w:color="auto"/>
            </w:tcBorders>
          </w:tcPr>
          <w:p w14:paraId="29ADE796" w14:textId="77777777" w:rsidR="0049742D" w:rsidRPr="0050155C" w:rsidRDefault="0049742D" w:rsidP="0049742D">
            <w:pPr>
              <w:pStyle w:val="TableText"/>
              <w:jc w:val="left"/>
              <w:rPr>
                <w:sz w:val="22"/>
                <w:szCs w:val="18"/>
              </w:rPr>
            </w:pPr>
            <w:r w:rsidRPr="0050155C">
              <w:rPr>
                <w:sz w:val="22"/>
                <w:szCs w:val="18"/>
              </w:rPr>
              <w:t>Insurance Fund</w:t>
            </w:r>
          </w:p>
        </w:tc>
        <w:tc>
          <w:tcPr>
            <w:tcW w:w="2037" w:type="pct"/>
            <w:tcBorders>
              <w:top w:val="single" w:sz="6" w:space="0" w:color="auto"/>
              <w:left w:val="single" w:sz="6" w:space="0" w:color="auto"/>
              <w:bottom w:val="single" w:sz="6" w:space="0" w:color="auto"/>
              <w:right w:val="single" w:sz="6" w:space="0" w:color="auto"/>
            </w:tcBorders>
          </w:tcPr>
          <w:p w14:paraId="0F9A3212" w14:textId="6603A270" w:rsidR="0049742D" w:rsidRPr="0050155C" w:rsidRDefault="00761300" w:rsidP="0049742D">
            <w:pPr>
              <w:pStyle w:val="TableText"/>
              <w:jc w:val="left"/>
              <w:rPr>
                <w:sz w:val="22"/>
                <w:szCs w:val="18"/>
              </w:rPr>
            </w:pPr>
            <w:r>
              <w:rPr>
                <w:sz w:val="22"/>
                <w:szCs w:val="18"/>
              </w:rPr>
              <w:t>Departmental charges less than expected.</w:t>
            </w:r>
          </w:p>
        </w:tc>
        <w:tc>
          <w:tcPr>
            <w:tcW w:w="1513" w:type="pct"/>
            <w:tcBorders>
              <w:top w:val="single" w:sz="6" w:space="0" w:color="auto"/>
              <w:left w:val="single" w:sz="6" w:space="0" w:color="auto"/>
              <w:bottom w:val="single" w:sz="6" w:space="0" w:color="auto"/>
              <w:right w:val="single" w:sz="6" w:space="0" w:color="auto"/>
            </w:tcBorders>
          </w:tcPr>
          <w:p w14:paraId="297FA871" w14:textId="1DBEC714" w:rsidR="0049742D" w:rsidRPr="0050155C" w:rsidRDefault="00761300" w:rsidP="0049742D">
            <w:pPr>
              <w:pStyle w:val="TableText"/>
              <w:jc w:val="left"/>
              <w:rPr>
                <w:sz w:val="22"/>
                <w:szCs w:val="18"/>
              </w:rPr>
            </w:pPr>
            <w:r w:rsidRPr="005B53D5">
              <w:rPr>
                <w:sz w:val="22"/>
                <w:szCs w:val="18"/>
              </w:rPr>
              <w:t>Fund balance for this purpose is available.</w:t>
            </w:r>
          </w:p>
        </w:tc>
      </w:tr>
      <w:tr w:rsidR="0049742D" w14:paraId="70EDF71F" w14:textId="77777777" w:rsidTr="009C6146">
        <w:tc>
          <w:tcPr>
            <w:tcW w:w="645" w:type="pct"/>
            <w:tcBorders>
              <w:top w:val="single" w:sz="6" w:space="0" w:color="auto"/>
              <w:left w:val="single" w:sz="6" w:space="0" w:color="auto"/>
              <w:bottom w:val="single" w:sz="6" w:space="0" w:color="auto"/>
              <w:right w:val="single" w:sz="6" w:space="0" w:color="auto"/>
            </w:tcBorders>
          </w:tcPr>
          <w:p w14:paraId="44D258CC" w14:textId="02E13DF6" w:rsidR="0049742D" w:rsidRPr="0050155C" w:rsidRDefault="0049742D" w:rsidP="0049742D">
            <w:pPr>
              <w:pStyle w:val="TableText"/>
              <w:rPr>
                <w:sz w:val="22"/>
                <w:szCs w:val="18"/>
              </w:rPr>
            </w:pPr>
            <w:r w:rsidRPr="0050155C">
              <w:rPr>
                <w:sz w:val="22"/>
                <w:szCs w:val="18"/>
              </w:rPr>
              <w:t>$3,478</w:t>
            </w:r>
          </w:p>
        </w:tc>
        <w:tc>
          <w:tcPr>
            <w:tcW w:w="805" w:type="pct"/>
            <w:tcBorders>
              <w:top w:val="single" w:sz="6" w:space="0" w:color="auto"/>
              <w:left w:val="single" w:sz="6" w:space="0" w:color="auto"/>
              <w:bottom w:val="single" w:sz="6" w:space="0" w:color="auto"/>
              <w:right w:val="single" w:sz="6" w:space="0" w:color="auto"/>
            </w:tcBorders>
          </w:tcPr>
          <w:p w14:paraId="54A55DF4" w14:textId="4ED98510" w:rsidR="0049742D" w:rsidRPr="0050155C" w:rsidRDefault="0049742D" w:rsidP="0049742D">
            <w:pPr>
              <w:pStyle w:val="TableText"/>
              <w:jc w:val="left"/>
              <w:rPr>
                <w:sz w:val="22"/>
                <w:szCs w:val="18"/>
              </w:rPr>
            </w:pPr>
            <w:r w:rsidRPr="0050155C">
              <w:rPr>
                <w:sz w:val="22"/>
                <w:szCs w:val="18"/>
              </w:rPr>
              <w:t xml:space="preserve">Jail </w:t>
            </w:r>
            <w:r w:rsidR="005B2D10">
              <w:rPr>
                <w:sz w:val="22"/>
                <w:szCs w:val="18"/>
              </w:rPr>
              <w:t xml:space="preserve">Assessment </w:t>
            </w:r>
            <w:r w:rsidRPr="0050155C">
              <w:rPr>
                <w:sz w:val="22"/>
                <w:szCs w:val="18"/>
              </w:rPr>
              <w:t>Fund</w:t>
            </w:r>
          </w:p>
        </w:tc>
        <w:tc>
          <w:tcPr>
            <w:tcW w:w="2037" w:type="pct"/>
            <w:tcBorders>
              <w:top w:val="single" w:sz="6" w:space="0" w:color="auto"/>
              <w:left w:val="single" w:sz="6" w:space="0" w:color="auto"/>
              <w:bottom w:val="single" w:sz="6" w:space="0" w:color="auto"/>
              <w:right w:val="single" w:sz="6" w:space="0" w:color="auto"/>
            </w:tcBorders>
          </w:tcPr>
          <w:p w14:paraId="67123D4B" w14:textId="7C381081" w:rsidR="0049742D" w:rsidRPr="00FC7D86" w:rsidRDefault="0049742D" w:rsidP="0049742D">
            <w:pPr>
              <w:pStyle w:val="TableText"/>
              <w:jc w:val="left"/>
              <w:rPr>
                <w:sz w:val="22"/>
                <w:szCs w:val="18"/>
              </w:rPr>
            </w:pPr>
            <w:r w:rsidRPr="00FC7D86">
              <w:rPr>
                <w:sz w:val="22"/>
                <w:szCs w:val="18"/>
              </w:rPr>
              <w:t>Higher than budgeted proceeds received were dedicated to law enforcement center debt service.</w:t>
            </w:r>
          </w:p>
        </w:tc>
        <w:tc>
          <w:tcPr>
            <w:tcW w:w="1513" w:type="pct"/>
            <w:tcBorders>
              <w:top w:val="single" w:sz="6" w:space="0" w:color="auto"/>
              <w:left w:val="single" w:sz="6" w:space="0" w:color="auto"/>
              <w:bottom w:val="single" w:sz="6" w:space="0" w:color="auto"/>
              <w:right w:val="single" w:sz="6" w:space="0" w:color="auto"/>
            </w:tcBorders>
          </w:tcPr>
          <w:p w14:paraId="41C6566A" w14:textId="298AB7B3" w:rsidR="0049742D" w:rsidRPr="00FC7D86" w:rsidRDefault="0049742D" w:rsidP="0049742D">
            <w:pPr>
              <w:pStyle w:val="TableText"/>
              <w:jc w:val="left"/>
              <w:rPr>
                <w:sz w:val="22"/>
                <w:szCs w:val="18"/>
              </w:rPr>
            </w:pPr>
            <w:r w:rsidRPr="00FC7D86">
              <w:rPr>
                <w:sz w:val="22"/>
                <w:szCs w:val="18"/>
              </w:rPr>
              <w:t>Forfeitures received.</w:t>
            </w:r>
          </w:p>
        </w:tc>
      </w:tr>
      <w:tr w:rsidR="0049742D" w14:paraId="3C785908" w14:textId="77777777" w:rsidTr="009C6146">
        <w:tc>
          <w:tcPr>
            <w:tcW w:w="645" w:type="pct"/>
            <w:tcBorders>
              <w:top w:val="single" w:sz="6" w:space="0" w:color="auto"/>
              <w:left w:val="single" w:sz="6" w:space="0" w:color="auto"/>
              <w:bottom w:val="single" w:sz="6" w:space="0" w:color="auto"/>
              <w:right w:val="single" w:sz="6" w:space="0" w:color="auto"/>
            </w:tcBorders>
          </w:tcPr>
          <w:p w14:paraId="0CF66C60" w14:textId="1EAB3397" w:rsidR="0049742D" w:rsidRPr="0049742D" w:rsidRDefault="0049742D" w:rsidP="0049742D">
            <w:pPr>
              <w:pStyle w:val="TableText"/>
              <w:rPr>
                <w:sz w:val="22"/>
                <w:szCs w:val="18"/>
              </w:rPr>
            </w:pPr>
            <w:r w:rsidRPr="0049742D">
              <w:rPr>
                <w:sz w:val="22"/>
                <w:szCs w:val="18"/>
              </w:rPr>
              <w:t>$303,979</w:t>
            </w:r>
          </w:p>
        </w:tc>
        <w:tc>
          <w:tcPr>
            <w:tcW w:w="805" w:type="pct"/>
            <w:tcBorders>
              <w:top w:val="single" w:sz="6" w:space="0" w:color="auto"/>
              <w:left w:val="single" w:sz="6" w:space="0" w:color="auto"/>
              <w:bottom w:val="single" w:sz="6" w:space="0" w:color="auto"/>
              <w:right w:val="single" w:sz="6" w:space="0" w:color="auto"/>
            </w:tcBorders>
          </w:tcPr>
          <w:p w14:paraId="64A84DC7" w14:textId="77777777" w:rsidR="0049742D" w:rsidRPr="0049742D" w:rsidRDefault="0049742D" w:rsidP="0049742D">
            <w:pPr>
              <w:pStyle w:val="TableText"/>
              <w:jc w:val="left"/>
              <w:rPr>
                <w:sz w:val="22"/>
                <w:szCs w:val="18"/>
              </w:rPr>
            </w:pPr>
            <w:r w:rsidRPr="0049742D">
              <w:rPr>
                <w:sz w:val="22"/>
                <w:szCs w:val="18"/>
              </w:rPr>
              <w:t>Public Health</w:t>
            </w:r>
          </w:p>
        </w:tc>
        <w:tc>
          <w:tcPr>
            <w:tcW w:w="2037" w:type="pct"/>
            <w:tcBorders>
              <w:top w:val="single" w:sz="6" w:space="0" w:color="auto"/>
              <w:left w:val="single" w:sz="6" w:space="0" w:color="auto"/>
              <w:bottom w:val="single" w:sz="6" w:space="0" w:color="auto"/>
              <w:right w:val="single" w:sz="6" w:space="0" w:color="auto"/>
            </w:tcBorders>
          </w:tcPr>
          <w:p w14:paraId="1CCC0AFE" w14:textId="6E1E8A90" w:rsidR="0049742D" w:rsidRPr="0054534C" w:rsidRDefault="0054534C" w:rsidP="0049742D">
            <w:pPr>
              <w:pStyle w:val="TableText"/>
              <w:jc w:val="left"/>
              <w:rPr>
                <w:sz w:val="22"/>
                <w:szCs w:val="18"/>
              </w:rPr>
            </w:pPr>
            <w:r w:rsidRPr="0054534C">
              <w:rPr>
                <w:sz w:val="22"/>
                <w:szCs w:val="18"/>
              </w:rPr>
              <w:t>COVID enhancing detection grant</w:t>
            </w:r>
            <w:r>
              <w:rPr>
                <w:sz w:val="22"/>
                <w:szCs w:val="18"/>
              </w:rPr>
              <w:t>.</w:t>
            </w:r>
          </w:p>
        </w:tc>
        <w:tc>
          <w:tcPr>
            <w:tcW w:w="1513" w:type="pct"/>
            <w:tcBorders>
              <w:top w:val="single" w:sz="6" w:space="0" w:color="auto"/>
              <w:left w:val="single" w:sz="6" w:space="0" w:color="auto"/>
              <w:bottom w:val="single" w:sz="6" w:space="0" w:color="auto"/>
              <w:right w:val="single" w:sz="6" w:space="0" w:color="auto"/>
            </w:tcBorders>
          </w:tcPr>
          <w:p w14:paraId="5ACE6EAA" w14:textId="77777777" w:rsidR="0049742D" w:rsidRPr="0054534C" w:rsidRDefault="0049742D" w:rsidP="0049742D">
            <w:pPr>
              <w:pStyle w:val="TableText"/>
              <w:jc w:val="left"/>
              <w:rPr>
                <w:sz w:val="22"/>
                <w:szCs w:val="18"/>
              </w:rPr>
            </w:pPr>
            <w:r w:rsidRPr="0054534C">
              <w:rPr>
                <w:sz w:val="22"/>
                <w:szCs w:val="18"/>
              </w:rPr>
              <w:t>Grant proceeds received.</w:t>
            </w:r>
          </w:p>
        </w:tc>
      </w:tr>
      <w:tr w:rsidR="0049742D" w14:paraId="3E52B46B" w14:textId="77777777" w:rsidTr="009C6146">
        <w:tc>
          <w:tcPr>
            <w:tcW w:w="645" w:type="pct"/>
            <w:tcBorders>
              <w:top w:val="single" w:sz="6" w:space="0" w:color="auto"/>
              <w:left w:val="single" w:sz="6" w:space="0" w:color="auto"/>
              <w:bottom w:val="single" w:sz="6" w:space="0" w:color="auto"/>
              <w:right w:val="single" w:sz="6" w:space="0" w:color="auto"/>
            </w:tcBorders>
          </w:tcPr>
          <w:p w14:paraId="6FFC699C" w14:textId="75F5896C" w:rsidR="0049742D" w:rsidRPr="0049742D" w:rsidRDefault="0049742D" w:rsidP="0049742D">
            <w:pPr>
              <w:pStyle w:val="TableText"/>
              <w:rPr>
                <w:sz w:val="22"/>
                <w:szCs w:val="18"/>
              </w:rPr>
            </w:pPr>
            <w:r w:rsidRPr="0049742D">
              <w:rPr>
                <w:sz w:val="22"/>
                <w:szCs w:val="18"/>
              </w:rPr>
              <w:t>$4,968</w:t>
            </w:r>
          </w:p>
        </w:tc>
        <w:tc>
          <w:tcPr>
            <w:tcW w:w="805" w:type="pct"/>
            <w:tcBorders>
              <w:top w:val="single" w:sz="6" w:space="0" w:color="auto"/>
              <w:left w:val="single" w:sz="6" w:space="0" w:color="auto"/>
              <w:bottom w:val="single" w:sz="6" w:space="0" w:color="auto"/>
              <w:right w:val="single" w:sz="6" w:space="0" w:color="auto"/>
            </w:tcBorders>
          </w:tcPr>
          <w:p w14:paraId="416C807B" w14:textId="3288E775" w:rsidR="0049742D" w:rsidRPr="0049742D" w:rsidRDefault="0049742D" w:rsidP="005D4ED3">
            <w:pPr>
              <w:pStyle w:val="TableText"/>
              <w:jc w:val="left"/>
              <w:rPr>
                <w:sz w:val="22"/>
                <w:szCs w:val="18"/>
              </w:rPr>
            </w:pPr>
            <w:r w:rsidRPr="0049742D">
              <w:rPr>
                <w:sz w:val="22"/>
                <w:szCs w:val="18"/>
              </w:rPr>
              <w:t>Register in Probate</w:t>
            </w:r>
            <w:bookmarkStart w:id="0" w:name="_GoBack"/>
            <w:bookmarkEnd w:id="0"/>
          </w:p>
        </w:tc>
        <w:tc>
          <w:tcPr>
            <w:tcW w:w="2037" w:type="pct"/>
            <w:tcBorders>
              <w:top w:val="single" w:sz="6" w:space="0" w:color="auto"/>
              <w:left w:val="single" w:sz="6" w:space="0" w:color="auto"/>
              <w:bottom w:val="single" w:sz="6" w:space="0" w:color="auto"/>
              <w:right w:val="single" w:sz="6" w:space="0" w:color="auto"/>
            </w:tcBorders>
          </w:tcPr>
          <w:p w14:paraId="7A89BD6E" w14:textId="77777777" w:rsidR="0049742D" w:rsidRPr="00C54D52" w:rsidRDefault="0049742D" w:rsidP="0049742D">
            <w:pPr>
              <w:pStyle w:val="TableText"/>
              <w:jc w:val="left"/>
              <w:rPr>
                <w:sz w:val="22"/>
                <w:szCs w:val="18"/>
              </w:rPr>
            </w:pPr>
            <w:r w:rsidRPr="00C54D52">
              <w:rPr>
                <w:sz w:val="22"/>
                <w:szCs w:val="18"/>
              </w:rPr>
              <w:t>Court appointed counsel for juvenile matters exceeded historical averages.</w:t>
            </w:r>
          </w:p>
        </w:tc>
        <w:tc>
          <w:tcPr>
            <w:tcW w:w="1513" w:type="pct"/>
            <w:tcBorders>
              <w:top w:val="single" w:sz="6" w:space="0" w:color="auto"/>
              <w:left w:val="single" w:sz="6" w:space="0" w:color="auto"/>
              <w:bottom w:val="single" w:sz="6" w:space="0" w:color="auto"/>
              <w:right w:val="single" w:sz="6" w:space="0" w:color="auto"/>
            </w:tcBorders>
          </w:tcPr>
          <w:p w14:paraId="1135217F" w14:textId="77777777" w:rsidR="0049742D" w:rsidRPr="00C54D52" w:rsidRDefault="0049742D" w:rsidP="0049742D">
            <w:pPr>
              <w:pStyle w:val="TableText"/>
              <w:jc w:val="left"/>
              <w:rPr>
                <w:sz w:val="22"/>
                <w:szCs w:val="18"/>
              </w:rPr>
            </w:pPr>
            <w:r w:rsidRPr="00C54D52">
              <w:rPr>
                <w:sz w:val="22"/>
                <w:szCs w:val="18"/>
              </w:rPr>
              <w:t>Probate filing fees also exceeded budgeted revenues.</w:t>
            </w:r>
          </w:p>
        </w:tc>
      </w:tr>
    </w:tbl>
    <w:p w14:paraId="1F5AA20E" w14:textId="77777777" w:rsidR="004440C4" w:rsidRPr="005D4ED3" w:rsidRDefault="004440C4" w:rsidP="004440C4">
      <w:pPr>
        <w:pStyle w:val="DefaultText"/>
        <w:jc w:val="both"/>
        <w:rPr>
          <w:rFonts w:ascii="Arial" w:hAnsi="Arial" w:cs="Arial"/>
          <w:sz w:val="16"/>
        </w:rPr>
      </w:pPr>
    </w:p>
    <w:p w14:paraId="55577D15" w14:textId="4945D2A2" w:rsidR="00C120EA" w:rsidRDefault="002A3B41" w:rsidP="00B11B6A">
      <w:pPr>
        <w:widowControl/>
        <w:rPr>
          <w:rFonts w:ascii="Arial" w:hAnsi="Arial" w:cs="Arial"/>
          <w:sz w:val="22"/>
          <w:szCs w:val="22"/>
        </w:rPr>
      </w:pPr>
      <w:r w:rsidRPr="002A3B41">
        <w:rPr>
          <w:rFonts w:ascii="Arial" w:hAnsi="Arial" w:cs="Arial"/>
          <w:b/>
          <w:bCs/>
          <w:sz w:val="22"/>
          <w:szCs w:val="22"/>
        </w:rPr>
        <w:t>THEREFORE</w:t>
      </w:r>
      <w:r w:rsidR="00DF7BD3">
        <w:rPr>
          <w:rFonts w:ascii="Arial" w:hAnsi="Arial" w:cs="Arial"/>
          <w:b/>
          <w:bCs/>
          <w:sz w:val="22"/>
          <w:szCs w:val="22"/>
        </w:rPr>
        <w:t>,</w:t>
      </w:r>
      <w:r w:rsidRPr="002A3B41">
        <w:rPr>
          <w:rFonts w:ascii="Arial" w:hAnsi="Arial" w:cs="Arial"/>
          <w:b/>
          <w:bCs/>
          <w:sz w:val="22"/>
          <w:szCs w:val="22"/>
        </w:rPr>
        <w:t xml:space="preserve"> BE IT RESOLVED</w:t>
      </w:r>
      <w:r w:rsidR="00DF7BD3">
        <w:rPr>
          <w:rFonts w:ascii="Arial" w:hAnsi="Arial" w:cs="Arial"/>
          <w:b/>
          <w:bCs/>
          <w:sz w:val="22"/>
          <w:szCs w:val="22"/>
        </w:rPr>
        <w:t>,</w:t>
      </w:r>
      <w:r w:rsidRPr="002A3B41">
        <w:rPr>
          <w:rFonts w:ascii="Arial" w:hAnsi="Arial" w:cs="Arial"/>
          <w:sz w:val="22"/>
          <w:szCs w:val="22"/>
        </w:rPr>
        <w:t xml:space="preserve"> </w:t>
      </w:r>
      <w:r w:rsidR="002E4A07" w:rsidRPr="004440C4">
        <w:rPr>
          <w:rFonts w:ascii="Arial" w:hAnsi="Arial" w:cs="Arial"/>
          <w:sz w:val="22"/>
          <w:szCs w:val="22"/>
        </w:rPr>
        <w:t xml:space="preserve">by the Sauk County Board of Supervisors met in regular session that </w:t>
      </w:r>
      <w:r w:rsidR="004440C4" w:rsidRPr="004440C4">
        <w:rPr>
          <w:rFonts w:ascii="Arial" w:hAnsi="Arial" w:cs="Arial"/>
          <w:sz w:val="22"/>
        </w:rPr>
        <w:t>the 202</w:t>
      </w:r>
      <w:r w:rsidR="007100C5">
        <w:rPr>
          <w:rFonts w:ascii="Arial" w:hAnsi="Arial" w:cs="Arial"/>
          <w:sz w:val="22"/>
        </w:rPr>
        <w:t>1</w:t>
      </w:r>
      <w:r w:rsidR="004440C4" w:rsidRPr="004440C4">
        <w:rPr>
          <w:rFonts w:ascii="Arial" w:hAnsi="Arial" w:cs="Arial"/>
          <w:sz w:val="22"/>
        </w:rPr>
        <w:t xml:space="preserve"> budgets of the above-described departments that did not exceed their net appropriations be amended to appropriate the additional funds received or fund balances; and,</w:t>
      </w:r>
    </w:p>
    <w:p w14:paraId="3C5376B0" w14:textId="758705E8" w:rsidR="00DF7BD3" w:rsidRDefault="00DF7BD3" w:rsidP="00B11B6A">
      <w:pPr>
        <w:widowControl/>
        <w:rPr>
          <w:rFonts w:ascii="Arial" w:hAnsi="Arial" w:cs="Arial"/>
          <w:sz w:val="22"/>
          <w:szCs w:val="22"/>
        </w:rPr>
      </w:pPr>
    </w:p>
    <w:p w14:paraId="03000D2A" w14:textId="779431CF" w:rsidR="004440C4" w:rsidRPr="004440C4" w:rsidRDefault="00DF7BD3" w:rsidP="004440C4">
      <w:pPr>
        <w:pStyle w:val="DefaultText"/>
        <w:jc w:val="both"/>
        <w:rPr>
          <w:rStyle w:val="InitialStyle"/>
          <w:rFonts w:ascii="Arial" w:hAnsi="Arial" w:cs="Arial"/>
          <w:szCs w:val="24"/>
        </w:rPr>
      </w:pPr>
      <w:r w:rsidRPr="004440C4">
        <w:rPr>
          <w:rFonts w:ascii="Arial" w:hAnsi="Arial" w:cs="Arial"/>
          <w:b/>
          <w:bCs/>
          <w:sz w:val="22"/>
          <w:szCs w:val="22"/>
        </w:rPr>
        <w:t>BE IT FURTHER RESOLVED,</w:t>
      </w:r>
      <w:r w:rsidRPr="004440C4">
        <w:rPr>
          <w:rFonts w:ascii="Arial" w:hAnsi="Arial" w:cs="Arial"/>
          <w:sz w:val="22"/>
          <w:szCs w:val="22"/>
        </w:rPr>
        <w:t xml:space="preserve"> </w:t>
      </w:r>
      <w:r w:rsidR="004440C4" w:rsidRPr="0049742D">
        <w:rPr>
          <w:rFonts w:ascii="Arial" w:hAnsi="Arial" w:cs="Arial"/>
          <w:sz w:val="22"/>
        </w:rPr>
        <w:t>that $2</w:t>
      </w:r>
      <w:r w:rsidR="0049742D" w:rsidRPr="0049742D">
        <w:rPr>
          <w:rFonts w:ascii="Arial" w:hAnsi="Arial" w:cs="Arial"/>
          <w:sz w:val="22"/>
        </w:rPr>
        <w:t>76</w:t>
      </w:r>
      <w:r w:rsidR="004440C4" w:rsidRPr="0049742D">
        <w:rPr>
          <w:rFonts w:ascii="Arial" w:hAnsi="Arial" w:cs="Arial"/>
          <w:sz w:val="22"/>
        </w:rPr>
        <w:t>,</w:t>
      </w:r>
      <w:r w:rsidR="0049742D" w:rsidRPr="0049742D">
        <w:rPr>
          <w:rFonts w:ascii="Arial" w:hAnsi="Arial" w:cs="Arial"/>
          <w:sz w:val="22"/>
        </w:rPr>
        <w:t>70</w:t>
      </w:r>
      <w:r w:rsidR="008A2794">
        <w:rPr>
          <w:rFonts w:ascii="Arial" w:hAnsi="Arial" w:cs="Arial"/>
          <w:sz w:val="22"/>
        </w:rPr>
        <w:t>8</w:t>
      </w:r>
      <w:r w:rsidR="004440C4" w:rsidRPr="0049742D">
        <w:rPr>
          <w:rFonts w:ascii="Arial" w:hAnsi="Arial" w:cs="Arial"/>
          <w:sz w:val="22"/>
        </w:rPr>
        <w:t xml:space="preserve"> be transferred from the 202</w:t>
      </w:r>
      <w:r w:rsidR="007100C5" w:rsidRPr="0049742D">
        <w:rPr>
          <w:rFonts w:ascii="Arial" w:hAnsi="Arial" w:cs="Arial"/>
          <w:sz w:val="22"/>
        </w:rPr>
        <w:t>1</w:t>
      </w:r>
      <w:r w:rsidR="004440C4" w:rsidRPr="0049742D">
        <w:rPr>
          <w:rFonts w:ascii="Arial" w:hAnsi="Arial" w:cs="Arial"/>
          <w:sz w:val="22"/>
        </w:rPr>
        <w:t xml:space="preserve"> contingency fund to the above-described departments’ 202</w:t>
      </w:r>
      <w:r w:rsidR="007100C5" w:rsidRPr="0049742D">
        <w:rPr>
          <w:rFonts w:ascii="Arial" w:hAnsi="Arial" w:cs="Arial"/>
          <w:sz w:val="22"/>
        </w:rPr>
        <w:t>1</w:t>
      </w:r>
      <w:r w:rsidR="004440C4" w:rsidRPr="0049742D">
        <w:rPr>
          <w:rFonts w:ascii="Arial" w:hAnsi="Arial" w:cs="Arial"/>
          <w:sz w:val="22"/>
        </w:rPr>
        <w:t xml:space="preserve"> budgets that </w:t>
      </w:r>
      <w:r w:rsidR="004440C4" w:rsidRPr="004440C4">
        <w:rPr>
          <w:rFonts w:ascii="Arial" w:hAnsi="Arial" w:cs="Arial"/>
          <w:sz w:val="22"/>
        </w:rPr>
        <w:t>were exceeded when other balances were not available</w:t>
      </w:r>
      <w:r w:rsidR="00EE31D8">
        <w:rPr>
          <w:rFonts w:ascii="Arial" w:hAnsi="Arial" w:cs="Arial"/>
          <w:sz w:val="22"/>
        </w:rPr>
        <w:t>; and,</w:t>
      </w:r>
    </w:p>
    <w:p w14:paraId="21A348AB" w14:textId="41A421D2" w:rsidR="00DF7BD3" w:rsidRDefault="00DF7BD3" w:rsidP="00B11B6A">
      <w:pPr>
        <w:widowControl/>
        <w:rPr>
          <w:rFonts w:ascii="Arial" w:eastAsia="Calibri" w:hAnsi="Arial" w:cs="Arial"/>
          <w:b/>
          <w:snapToGrid/>
          <w:sz w:val="22"/>
          <w:szCs w:val="22"/>
        </w:rPr>
      </w:pPr>
    </w:p>
    <w:p w14:paraId="50B25CB1" w14:textId="76C1029E" w:rsidR="007100C5" w:rsidRPr="004440C4" w:rsidRDefault="007100C5" w:rsidP="00B11B6A">
      <w:pPr>
        <w:widowControl/>
        <w:rPr>
          <w:rFonts w:ascii="Arial" w:eastAsia="Calibri" w:hAnsi="Arial" w:cs="Arial"/>
          <w:b/>
          <w:snapToGrid/>
          <w:sz w:val="22"/>
          <w:szCs w:val="22"/>
        </w:rPr>
      </w:pPr>
      <w:r w:rsidRPr="004440C4">
        <w:rPr>
          <w:rFonts w:ascii="Arial" w:hAnsi="Arial" w:cs="Arial"/>
          <w:b/>
          <w:bCs/>
          <w:sz w:val="22"/>
          <w:szCs w:val="22"/>
        </w:rPr>
        <w:t>BE IT FURTHER RESOLVED,</w:t>
      </w:r>
      <w:r w:rsidRPr="004440C4">
        <w:rPr>
          <w:rFonts w:ascii="Arial" w:hAnsi="Arial" w:cs="Arial"/>
          <w:sz w:val="22"/>
          <w:szCs w:val="22"/>
        </w:rPr>
        <w:t xml:space="preserve"> </w:t>
      </w:r>
      <w:r w:rsidRPr="004440C4">
        <w:rPr>
          <w:rFonts w:ascii="Arial" w:hAnsi="Arial" w:cs="Arial"/>
          <w:sz w:val="22"/>
        </w:rPr>
        <w:t>that</w:t>
      </w:r>
      <w:r>
        <w:rPr>
          <w:rFonts w:ascii="Arial" w:hAnsi="Arial" w:cs="Arial"/>
          <w:sz w:val="22"/>
        </w:rPr>
        <w:t xml:space="preserve"> $5,000,000 of General Fund balance be assigned as of December 31, 2021 for Highway Department facility and equipment if needed.</w:t>
      </w:r>
    </w:p>
    <w:p w14:paraId="5E9B0ADB" w14:textId="77777777" w:rsidR="00DF7BD3" w:rsidRPr="004440C4" w:rsidRDefault="00DF7BD3" w:rsidP="00B11B6A">
      <w:pPr>
        <w:widowControl/>
        <w:rPr>
          <w:rFonts w:ascii="Arial" w:eastAsia="Calibri" w:hAnsi="Arial" w:cs="Arial"/>
          <w:b/>
          <w:snapToGrid/>
          <w:sz w:val="22"/>
          <w:szCs w:val="22"/>
        </w:rPr>
      </w:pPr>
    </w:p>
    <w:p w14:paraId="500FB2FD" w14:textId="77777777" w:rsidR="00C745E1" w:rsidRPr="00FD79AB" w:rsidRDefault="00C745E1" w:rsidP="00B11B6A">
      <w:pPr>
        <w:rPr>
          <w:rFonts w:ascii="Arial" w:hAnsi="Arial" w:cs="Arial"/>
          <w:sz w:val="22"/>
          <w:szCs w:val="22"/>
        </w:rPr>
      </w:pPr>
    </w:p>
    <w:p w14:paraId="706E40B9" w14:textId="4503B1B4" w:rsidR="00BC55B4" w:rsidRPr="00094EA5" w:rsidRDefault="004977A5" w:rsidP="00B11B6A">
      <w:pPr>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2E4A07">
        <w:rPr>
          <w:rFonts w:ascii="Arial" w:hAnsi="Arial" w:cs="Arial"/>
          <w:sz w:val="22"/>
          <w:szCs w:val="22"/>
        </w:rPr>
        <w:t>Finance</w:t>
      </w:r>
      <w:r w:rsidR="00BC55B4">
        <w:rPr>
          <w:rFonts w:ascii="Arial" w:hAnsi="Arial" w:cs="Arial"/>
          <w:sz w:val="22"/>
          <w:szCs w:val="22"/>
        </w:rPr>
        <w:t xml:space="preserve"> Committee</w:t>
      </w:r>
      <w:r>
        <w:rPr>
          <w:rFonts w:ascii="Arial" w:hAnsi="Arial" w:cs="Arial"/>
          <w:sz w:val="22"/>
          <w:szCs w:val="22"/>
        </w:rPr>
        <w:t xml:space="preserve">, this </w:t>
      </w:r>
      <w:r w:rsidR="004440C4">
        <w:rPr>
          <w:rFonts w:ascii="Arial" w:hAnsi="Arial" w:cs="Arial"/>
          <w:sz w:val="22"/>
          <w:szCs w:val="22"/>
        </w:rPr>
        <w:t>21st</w:t>
      </w:r>
      <w:r>
        <w:rPr>
          <w:rFonts w:ascii="Arial" w:hAnsi="Arial" w:cs="Arial"/>
          <w:sz w:val="22"/>
          <w:szCs w:val="22"/>
        </w:rPr>
        <w:t xml:space="preserve"> day of </w:t>
      </w:r>
      <w:r w:rsidR="004440C4">
        <w:rPr>
          <w:rFonts w:ascii="Arial" w:hAnsi="Arial" w:cs="Arial"/>
          <w:sz w:val="22"/>
          <w:szCs w:val="22"/>
        </w:rPr>
        <w:t>June</w:t>
      </w:r>
      <w:r w:rsidR="002E4A07">
        <w:rPr>
          <w:rFonts w:ascii="Arial" w:hAnsi="Arial" w:cs="Arial"/>
          <w:sz w:val="22"/>
          <w:szCs w:val="22"/>
        </w:rPr>
        <w:t>, 2022</w:t>
      </w:r>
    </w:p>
    <w:p w14:paraId="05527446" w14:textId="0B764ED1" w:rsidR="00EC66DA" w:rsidRDefault="00EC66DA" w:rsidP="00B11B6A">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3DF39B0" w14:textId="57E71C41" w:rsidR="00BC55B4" w:rsidRDefault="00BC55B4" w:rsidP="00B11B6A">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proofErr w:type="gramStart"/>
      <w:r w:rsidRPr="00BC55B4">
        <w:rPr>
          <w:rFonts w:ascii="Arial" w:hAnsi="Arial" w:cs="Arial"/>
          <w:color w:val="000000"/>
          <w:sz w:val="22"/>
          <w:szCs w:val="22"/>
        </w:rPr>
        <w:t xml:space="preserve">YES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00DF7BD3">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11B6A">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90C7CA8" w14:textId="5AFB0AE1" w:rsidR="00C120EA" w:rsidRDefault="00C120EA" w:rsidP="00B11B6A">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r w:rsidRPr="00C120EA">
        <w:rPr>
          <w:rFonts w:ascii="Arial" w:hAnsi="Arial" w:cs="Arial"/>
          <w:color w:val="000000"/>
          <w:sz w:val="22"/>
          <w:szCs w:val="22"/>
        </w:rPr>
        <w:t xml:space="preserve">Fiscal Impact: [  ] None   </w:t>
      </w:r>
      <w:proofErr w:type="gramStart"/>
      <w:r w:rsidRPr="00C120EA">
        <w:rPr>
          <w:rFonts w:ascii="Arial" w:hAnsi="Arial" w:cs="Arial"/>
          <w:color w:val="000000"/>
          <w:sz w:val="22"/>
          <w:szCs w:val="22"/>
        </w:rPr>
        <w:t xml:space="preserve">[ </w:t>
      </w:r>
      <w:r w:rsidR="005C2B5E">
        <w:rPr>
          <w:rFonts w:ascii="Arial" w:hAnsi="Arial" w:cs="Arial"/>
          <w:color w:val="000000"/>
          <w:sz w:val="22"/>
          <w:szCs w:val="22"/>
        </w:rPr>
        <w:t>x</w:t>
      </w:r>
      <w:proofErr w:type="gramEnd"/>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rsidP="00B11B6A">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4743452C" w14:textId="16005634" w:rsidR="00EC66DA" w:rsidRPr="00094EA5" w:rsidRDefault="00EC66DA" w:rsidP="00B11B6A">
      <w:pPr>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DF7BD3">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DF7BD3">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rsidP="00B11B6A">
      <w:pPr>
        <w:rPr>
          <w:rFonts w:ascii="Arial" w:hAnsi="Arial" w:cs="Arial"/>
          <w:sz w:val="22"/>
          <w:szCs w:val="22"/>
        </w:rPr>
      </w:pPr>
    </w:p>
    <w:p w14:paraId="6AB6A1FD" w14:textId="12BE39E9" w:rsidR="00EC66DA" w:rsidRPr="00094EA5" w:rsidRDefault="00EC66DA" w:rsidP="00B11B6A">
      <w:pPr>
        <w:pStyle w:val="BodyText2"/>
        <w:rPr>
          <w:sz w:val="22"/>
          <w:szCs w:val="22"/>
        </w:rPr>
      </w:pPr>
      <w:r w:rsidRPr="00094EA5">
        <w:rPr>
          <w:sz w:val="22"/>
          <w:szCs w:val="22"/>
        </w:rPr>
        <w:t>The County Board has the legal authority to adopt:  Yes ____ No _____ as reviewed by the Corporation Counsel, _________________________________, Date:  ________________</w:t>
      </w:r>
      <w:r w:rsidR="005D76E1">
        <w:rPr>
          <w:sz w:val="22"/>
          <w:szCs w:val="22"/>
        </w:rPr>
        <w:t>.</w:t>
      </w:r>
    </w:p>
    <w:p w14:paraId="711F7779" w14:textId="77777777" w:rsidR="00E23E28" w:rsidRDefault="00E23E28" w:rsidP="00B11B6A">
      <w:pPr>
        <w:pStyle w:val="Footer"/>
        <w:tabs>
          <w:tab w:val="clear" w:pos="4320"/>
          <w:tab w:val="clear" w:pos="8640"/>
          <w:tab w:val="right" w:pos="9360"/>
        </w:tabs>
        <w:rPr>
          <w:rFonts w:ascii="Arial" w:hAnsi="Arial" w:cs="Arial"/>
          <w:sz w:val="22"/>
          <w:szCs w:val="22"/>
        </w:rPr>
      </w:pPr>
    </w:p>
    <w:p w14:paraId="7E7F0BD6" w14:textId="58759735" w:rsidR="00EC66DA"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1925393E" w14:textId="77777777" w:rsidR="00432C17" w:rsidRPr="00094EA5" w:rsidRDefault="00432C17" w:rsidP="00C03D0A">
      <w:pPr>
        <w:pStyle w:val="Footer"/>
        <w:tabs>
          <w:tab w:val="clear" w:pos="4320"/>
          <w:tab w:val="clear" w:pos="8640"/>
        </w:tabs>
        <w:rPr>
          <w:rFonts w:ascii="Arial" w:hAnsi="Arial" w:cs="Arial"/>
          <w:sz w:val="22"/>
          <w:szCs w:val="22"/>
        </w:rPr>
      </w:pP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206082D2" w:rsidR="00EC66DA" w:rsidRPr="00094EA5" w:rsidRDefault="002E4A07">
      <w:pPr>
        <w:ind w:left="6300"/>
        <w:rPr>
          <w:rFonts w:ascii="Arial" w:hAnsi="Arial" w:cs="Arial"/>
          <w:sz w:val="22"/>
          <w:szCs w:val="22"/>
        </w:rPr>
      </w:pPr>
      <w:r>
        <w:rPr>
          <w:rFonts w:ascii="Arial" w:hAnsi="Arial" w:cs="Arial"/>
          <w:sz w:val="22"/>
          <w:szCs w:val="22"/>
        </w:rPr>
        <w:t>Martin F. Krueger</w:t>
      </w:r>
    </w:p>
    <w:p w14:paraId="7CA67E7A" w14:textId="77777777" w:rsidR="00432C17" w:rsidRDefault="00432C17" w:rsidP="00EF423E">
      <w:pPr>
        <w:rPr>
          <w:rFonts w:ascii="Arial" w:hAnsi="Arial" w:cs="Arial"/>
          <w:sz w:val="22"/>
          <w:szCs w:val="22"/>
        </w:rPr>
      </w:pPr>
    </w:p>
    <w:p w14:paraId="7D8E910B" w14:textId="505F8CB9"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67EB2431" w:rsidR="00EC66DA" w:rsidRDefault="002E4A07">
      <w:pPr>
        <w:ind w:left="6300"/>
        <w:rPr>
          <w:rFonts w:ascii="Arial" w:hAnsi="Arial" w:cs="Arial"/>
          <w:sz w:val="22"/>
          <w:szCs w:val="22"/>
        </w:rPr>
      </w:pPr>
      <w:r>
        <w:rPr>
          <w:rFonts w:ascii="Arial" w:hAnsi="Arial" w:cs="Arial"/>
          <w:sz w:val="22"/>
          <w:szCs w:val="22"/>
        </w:rPr>
        <w:t>Thomas Dorner</w:t>
      </w:r>
    </w:p>
    <w:p w14:paraId="6132DE8D" w14:textId="77777777" w:rsidR="00432C17" w:rsidRDefault="00432C17" w:rsidP="00EF423E">
      <w:pPr>
        <w:rPr>
          <w:rFonts w:ascii="Arial" w:hAnsi="Arial" w:cs="Arial"/>
          <w:sz w:val="22"/>
          <w:szCs w:val="22"/>
        </w:rPr>
      </w:pPr>
    </w:p>
    <w:p w14:paraId="1F9D6D92" w14:textId="022F072C"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22EB1FA" w:rsidR="00EF423E" w:rsidRDefault="002E4A07"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Lynn Eberl</w:t>
      </w:r>
    </w:p>
    <w:p w14:paraId="07CAA16F" w14:textId="77777777" w:rsidR="00432C17" w:rsidRDefault="00432C17" w:rsidP="00EF423E">
      <w:pPr>
        <w:rPr>
          <w:rFonts w:ascii="Arial" w:hAnsi="Arial" w:cs="Arial"/>
          <w:sz w:val="22"/>
          <w:szCs w:val="22"/>
        </w:rPr>
      </w:pPr>
    </w:p>
    <w:p w14:paraId="7BC9A3EF" w14:textId="3817E576"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2D5176FF" w:rsidR="00EF423E" w:rsidRDefault="002E4A07"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Richard “Mike” Flint</w:t>
      </w:r>
    </w:p>
    <w:p w14:paraId="68BFDE69" w14:textId="77777777" w:rsidR="00432C17" w:rsidRDefault="00432C17" w:rsidP="00EF423E">
      <w:pPr>
        <w:rPr>
          <w:rFonts w:ascii="Arial" w:hAnsi="Arial" w:cs="Arial"/>
          <w:sz w:val="22"/>
          <w:szCs w:val="22"/>
        </w:rPr>
      </w:pPr>
    </w:p>
    <w:p w14:paraId="67AE3852" w14:textId="6FDF68AE"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43AEA9D8"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E4A07">
        <w:rPr>
          <w:rFonts w:ascii="Arial" w:hAnsi="Arial" w:cs="Arial"/>
          <w:sz w:val="22"/>
          <w:szCs w:val="22"/>
        </w:rPr>
        <w:t xml:space="preserve">  Timothy McCumber</w:t>
      </w:r>
    </w:p>
    <w:p w14:paraId="5F088487" w14:textId="77777777" w:rsidR="004440C4" w:rsidRDefault="004440C4" w:rsidP="00DF7BD3">
      <w:pPr>
        <w:pStyle w:val="DefaultText"/>
        <w:tabs>
          <w:tab w:val="left" w:pos="720"/>
          <w:tab w:val="left" w:pos="3060"/>
        </w:tabs>
        <w:jc w:val="both"/>
        <w:rPr>
          <w:szCs w:val="24"/>
        </w:rPr>
      </w:pPr>
    </w:p>
    <w:p w14:paraId="7D0D300B" w14:textId="2015C725" w:rsidR="00DF7BD3" w:rsidRPr="00DF7BD3" w:rsidRDefault="0049742D" w:rsidP="00DF7BD3">
      <w:pPr>
        <w:pStyle w:val="DefaultText"/>
        <w:tabs>
          <w:tab w:val="left" w:pos="720"/>
          <w:tab w:val="left" w:pos="3060"/>
        </w:tabs>
        <w:jc w:val="both"/>
        <w:rPr>
          <w:rFonts w:ascii="Arial" w:hAnsi="Arial" w:cs="Arial"/>
          <w:sz w:val="22"/>
          <w:szCs w:val="22"/>
        </w:rPr>
      </w:pPr>
      <w:r>
        <w:rPr>
          <w:szCs w:val="24"/>
        </w:rPr>
        <w:t>F</w:t>
      </w:r>
      <w:r w:rsidR="004440C4">
        <w:rPr>
          <w:szCs w:val="24"/>
        </w:rPr>
        <w:t>iscal Note:  Transfers from the contingency fund to overdrawn departments in 202</w:t>
      </w:r>
      <w:r>
        <w:rPr>
          <w:szCs w:val="24"/>
        </w:rPr>
        <w:t>1</w:t>
      </w:r>
      <w:r w:rsidR="004440C4">
        <w:rPr>
          <w:szCs w:val="24"/>
        </w:rPr>
        <w:t xml:space="preserve"> total $</w:t>
      </w:r>
      <w:r>
        <w:rPr>
          <w:szCs w:val="24"/>
        </w:rPr>
        <w:t>396</w:t>
      </w:r>
      <w:r w:rsidR="004440C4">
        <w:rPr>
          <w:szCs w:val="24"/>
        </w:rPr>
        <w:t>,</w:t>
      </w:r>
      <w:r w:rsidR="008A2794">
        <w:rPr>
          <w:szCs w:val="24"/>
        </w:rPr>
        <w:t>708</w:t>
      </w:r>
      <w:r w:rsidR="004440C4">
        <w:rPr>
          <w:szCs w:val="24"/>
        </w:rPr>
        <w:t>.</w:t>
      </w:r>
    </w:p>
    <w:p w14:paraId="7DF91452" w14:textId="77777777" w:rsidR="00DF7BD3" w:rsidRPr="00DF7BD3" w:rsidRDefault="00DF7BD3" w:rsidP="00DF7BD3">
      <w:pPr>
        <w:pStyle w:val="DefaultText"/>
        <w:tabs>
          <w:tab w:val="left" w:pos="720"/>
          <w:tab w:val="left" w:pos="3060"/>
        </w:tabs>
        <w:jc w:val="both"/>
        <w:rPr>
          <w:rFonts w:ascii="Arial" w:hAnsi="Arial" w:cs="Arial"/>
          <w:sz w:val="22"/>
          <w:szCs w:val="22"/>
        </w:rPr>
      </w:pPr>
    </w:p>
    <w:p w14:paraId="613E27FC" w14:textId="01C63744" w:rsidR="00044F95" w:rsidRPr="00DF7BD3" w:rsidRDefault="00DF7BD3" w:rsidP="00EE0264">
      <w:pPr>
        <w:rPr>
          <w:rFonts w:ascii="Arial" w:hAnsi="Arial" w:cs="Arial"/>
          <w:sz w:val="22"/>
          <w:szCs w:val="22"/>
        </w:rPr>
      </w:pPr>
      <w:r w:rsidRPr="00DF7BD3">
        <w:rPr>
          <w:rFonts w:ascii="Arial" w:hAnsi="Arial" w:cs="Arial"/>
          <w:sz w:val="22"/>
          <w:szCs w:val="22"/>
        </w:rPr>
        <w:t xml:space="preserve">Information Systems Note:  </w:t>
      </w:r>
      <w:r w:rsidR="004440C4">
        <w:rPr>
          <w:rFonts w:ascii="Arial" w:hAnsi="Arial" w:cs="Arial"/>
          <w:sz w:val="22"/>
          <w:szCs w:val="22"/>
        </w:rPr>
        <w:t>No information system impact.</w:t>
      </w:r>
    </w:p>
    <w:sectPr w:rsidR="00044F95" w:rsidRPr="00DF7BD3">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DA06" w14:textId="77777777" w:rsidR="006D1C72" w:rsidRDefault="006D1C72">
      <w:r>
        <w:separator/>
      </w:r>
    </w:p>
  </w:endnote>
  <w:endnote w:type="continuationSeparator" w:id="0">
    <w:p w14:paraId="2858F5BE" w14:textId="77777777" w:rsidR="006D1C72" w:rsidRDefault="006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DE63" w14:textId="6648B368"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4ED3">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11F5" w14:textId="6A43EAC2"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4ED3">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EE29" w14:textId="77777777" w:rsidR="006D1C72" w:rsidRDefault="006D1C72">
      <w:r>
        <w:separator/>
      </w:r>
    </w:p>
  </w:footnote>
  <w:footnote w:type="continuationSeparator" w:id="0">
    <w:p w14:paraId="6A07F8CA" w14:textId="77777777" w:rsidR="006D1C72" w:rsidRDefault="006D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8"/>
    <w:rsid w:val="000335FD"/>
    <w:rsid w:val="00041A68"/>
    <w:rsid w:val="00044F95"/>
    <w:rsid w:val="00060DE6"/>
    <w:rsid w:val="00083BE4"/>
    <w:rsid w:val="00094EA5"/>
    <w:rsid w:val="000B03FA"/>
    <w:rsid w:val="001267D1"/>
    <w:rsid w:val="001815BD"/>
    <w:rsid w:val="00183131"/>
    <w:rsid w:val="00191AC8"/>
    <w:rsid w:val="00195AA0"/>
    <w:rsid w:val="001B1C47"/>
    <w:rsid w:val="001C5546"/>
    <w:rsid w:val="001F39A6"/>
    <w:rsid w:val="0023256C"/>
    <w:rsid w:val="00273250"/>
    <w:rsid w:val="002A3B41"/>
    <w:rsid w:val="002A77C6"/>
    <w:rsid w:val="002B029F"/>
    <w:rsid w:val="002C0FA9"/>
    <w:rsid w:val="002C43FC"/>
    <w:rsid w:val="002E4A07"/>
    <w:rsid w:val="00323930"/>
    <w:rsid w:val="00347522"/>
    <w:rsid w:val="00356CD1"/>
    <w:rsid w:val="00376D9D"/>
    <w:rsid w:val="003B7DD9"/>
    <w:rsid w:val="003E065C"/>
    <w:rsid w:val="003E76C4"/>
    <w:rsid w:val="004009D5"/>
    <w:rsid w:val="00414D08"/>
    <w:rsid w:val="004250EE"/>
    <w:rsid w:val="00427E76"/>
    <w:rsid w:val="00432C17"/>
    <w:rsid w:val="0044340E"/>
    <w:rsid w:val="004440C4"/>
    <w:rsid w:val="00465333"/>
    <w:rsid w:val="00490BB1"/>
    <w:rsid w:val="00491F30"/>
    <w:rsid w:val="0049742D"/>
    <w:rsid w:val="004977A5"/>
    <w:rsid w:val="004D4D23"/>
    <w:rsid w:val="0050155C"/>
    <w:rsid w:val="005073B4"/>
    <w:rsid w:val="0054090B"/>
    <w:rsid w:val="0054534C"/>
    <w:rsid w:val="00552D19"/>
    <w:rsid w:val="0056579B"/>
    <w:rsid w:val="005B2D10"/>
    <w:rsid w:val="005B53D5"/>
    <w:rsid w:val="005C2B5E"/>
    <w:rsid w:val="005C5158"/>
    <w:rsid w:val="005C661D"/>
    <w:rsid w:val="005C7F85"/>
    <w:rsid w:val="005D4D63"/>
    <w:rsid w:val="005D4ED3"/>
    <w:rsid w:val="005D5EB1"/>
    <w:rsid w:val="005D72F6"/>
    <w:rsid w:val="005D76E1"/>
    <w:rsid w:val="005E6E66"/>
    <w:rsid w:val="00620B32"/>
    <w:rsid w:val="00680DF0"/>
    <w:rsid w:val="00682BF6"/>
    <w:rsid w:val="00691854"/>
    <w:rsid w:val="00693733"/>
    <w:rsid w:val="00694476"/>
    <w:rsid w:val="006A0198"/>
    <w:rsid w:val="006A6398"/>
    <w:rsid w:val="006D1C72"/>
    <w:rsid w:val="006D7B40"/>
    <w:rsid w:val="006E4C05"/>
    <w:rsid w:val="006F0B4B"/>
    <w:rsid w:val="006F335C"/>
    <w:rsid w:val="007100C5"/>
    <w:rsid w:val="00722AFF"/>
    <w:rsid w:val="00743818"/>
    <w:rsid w:val="00761300"/>
    <w:rsid w:val="00783274"/>
    <w:rsid w:val="00783CE3"/>
    <w:rsid w:val="00793B61"/>
    <w:rsid w:val="007D2896"/>
    <w:rsid w:val="007E2E7C"/>
    <w:rsid w:val="007E5DBA"/>
    <w:rsid w:val="00821589"/>
    <w:rsid w:val="008572EE"/>
    <w:rsid w:val="0089786D"/>
    <w:rsid w:val="008A2794"/>
    <w:rsid w:val="008B2A83"/>
    <w:rsid w:val="008B64F3"/>
    <w:rsid w:val="008E19F0"/>
    <w:rsid w:val="008E3731"/>
    <w:rsid w:val="00901CC6"/>
    <w:rsid w:val="00963023"/>
    <w:rsid w:val="00966C9A"/>
    <w:rsid w:val="009B220E"/>
    <w:rsid w:val="009C35CB"/>
    <w:rsid w:val="00A13B76"/>
    <w:rsid w:val="00A51933"/>
    <w:rsid w:val="00A52F6C"/>
    <w:rsid w:val="00A93EDB"/>
    <w:rsid w:val="00AC3A09"/>
    <w:rsid w:val="00AE2F5C"/>
    <w:rsid w:val="00AF7B34"/>
    <w:rsid w:val="00B0140A"/>
    <w:rsid w:val="00B11B6A"/>
    <w:rsid w:val="00B14659"/>
    <w:rsid w:val="00B20840"/>
    <w:rsid w:val="00B37A0B"/>
    <w:rsid w:val="00B66313"/>
    <w:rsid w:val="00B73BE6"/>
    <w:rsid w:val="00B75C7E"/>
    <w:rsid w:val="00BB5B44"/>
    <w:rsid w:val="00BB5D6A"/>
    <w:rsid w:val="00BC55B4"/>
    <w:rsid w:val="00BD2C7C"/>
    <w:rsid w:val="00BD44F1"/>
    <w:rsid w:val="00C03D0A"/>
    <w:rsid w:val="00C120EA"/>
    <w:rsid w:val="00C443E4"/>
    <w:rsid w:val="00C54D52"/>
    <w:rsid w:val="00C74057"/>
    <w:rsid w:val="00C745E1"/>
    <w:rsid w:val="00C75A85"/>
    <w:rsid w:val="00C83CE3"/>
    <w:rsid w:val="00C94BC8"/>
    <w:rsid w:val="00CD0095"/>
    <w:rsid w:val="00CD62B0"/>
    <w:rsid w:val="00CE5503"/>
    <w:rsid w:val="00CF2A1C"/>
    <w:rsid w:val="00D25922"/>
    <w:rsid w:val="00D31814"/>
    <w:rsid w:val="00D77EF0"/>
    <w:rsid w:val="00D875A0"/>
    <w:rsid w:val="00D94708"/>
    <w:rsid w:val="00D97B14"/>
    <w:rsid w:val="00DF3771"/>
    <w:rsid w:val="00DF7BD3"/>
    <w:rsid w:val="00E00824"/>
    <w:rsid w:val="00E14AE5"/>
    <w:rsid w:val="00E23E28"/>
    <w:rsid w:val="00E3509A"/>
    <w:rsid w:val="00E510F8"/>
    <w:rsid w:val="00E8001C"/>
    <w:rsid w:val="00E85EEF"/>
    <w:rsid w:val="00EC66DA"/>
    <w:rsid w:val="00ED45B1"/>
    <w:rsid w:val="00ED522C"/>
    <w:rsid w:val="00ED770D"/>
    <w:rsid w:val="00EE0264"/>
    <w:rsid w:val="00EE1B93"/>
    <w:rsid w:val="00EE31D8"/>
    <w:rsid w:val="00EE5F93"/>
    <w:rsid w:val="00EF423E"/>
    <w:rsid w:val="00EF760F"/>
    <w:rsid w:val="00F20D1C"/>
    <w:rsid w:val="00F23309"/>
    <w:rsid w:val="00F609CC"/>
    <w:rsid w:val="00FA1D0C"/>
    <w:rsid w:val="00FA4668"/>
    <w:rsid w:val="00FA6454"/>
    <w:rsid w:val="00FB38C7"/>
    <w:rsid w:val="00FC7D86"/>
    <w:rsid w:val="00FD79AB"/>
    <w:rsid w:val="00FE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character" w:customStyle="1" w:styleId="InitialStyle">
    <w:name w:val="InitialStyle"/>
    <w:uiPriority w:val="99"/>
    <w:rsid w:val="002E4A07"/>
  </w:style>
  <w:style w:type="paragraph" w:customStyle="1" w:styleId="DefaultText">
    <w:name w:val="Default Text"/>
    <w:basedOn w:val="Normal"/>
    <w:rsid w:val="00DF7BD3"/>
    <w:pPr>
      <w:widowControl/>
      <w:overflowPunct w:val="0"/>
      <w:autoSpaceDE w:val="0"/>
      <w:autoSpaceDN w:val="0"/>
      <w:adjustRightInd w:val="0"/>
      <w:textAlignment w:val="baseline"/>
    </w:pPr>
    <w:rPr>
      <w:snapToGrid/>
      <w:sz w:val="24"/>
    </w:rPr>
  </w:style>
  <w:style w:type="paragraph" w:customStyle="1" w:styleId="TableText">
    <w:name w:val="Table Text"/>
    <w:basedOn w:val="Normal"/>
    <w:rsid w:val="004440C4"/>
    <w:pPr>
      <w:widowControl/>
      <w:overflowPunct w:val="0"/>
      <w:autoSpaceDE w:val="0"/>
      <w:autoSpaceDN w:val="0"/>
      <w:adjustRightInd w:val="0"/>
      <w:jc w:val="right"/>
      <w:textAlignment w:val="baseline"/>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Kerry Beghin</cp:lastModifiedBy>
  <cp:revision>22</cp:revision>
  <cp:lastPrinted>2022-06-02T02:37:00Z</cp:lastPrinted>
  <dcterms:created xsi:type="dcterms:W3CDTF">2022-05-07T12:40:00Z</dcterms:created>
  <dcterms:modified xsi:type="dcterms:W3CDTF">2022-06-02T02:40:00Z</dcterms:modified>
  <cp:contentStatus/>
</cp:coreProperties>
</file>