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1530166A" w:rsidR="00EC66DA" w:rsidRPr="00850446" w:rsidRDefault="00EC66DA" w:rsidP="00A73832">
      <w:pPr>
        <w:pStyle w:val="Title"/>
        <w:rPr>
          <w:sz w:val="22"/>
          <w:szCs w:val="22"/>
        </w:rPr>
      </w:pPr>
      <w:r w:rsidRPr="00850446">
        <w:rPr>
          <w:sz w:val="22"/>
          <w:szCs w:val="22"/>
        </w:rPr>
        <w:t>RESOLUTION #</w:t>
      </w:r>
      <w:r w:rsidR="00D72020" w:rsidRPr="00850446">
        <w:rPr>
          <w:sz w:val="22"/>
          <w:szCs w:val="22"/>
        </w:rPr>
        <w:t>____-2022</w:t>
      </w:r>
    </w:p>
    <w:p w14:paraId="1E8EB2AA" w14:textId="77777777" w:rsidR="00EC66DA" w:rsidRPr="00850446" w:rsidRDefault="00EC66DA">
      <w:pPr>
        <w:pStyle w:val="Title"/>
        <w:rPr>
          <w:sz w:val="22"/>
          <w:szCs w:val="22"/>
        </w:rPr>
      </w:pPr>
    </w:p>
    <w:p w14:paraId="6368F2CE" w14:textId="77777777" w:rsidR="00EC66DA" w:rsidRPr="00850446" w:rsidRDefault="00EC66DA">
      <w:pPr>
        <w:pStyle w:val="Title"/>
        <w:jc w:val="left"/>
        <w:rPr>
          <w:sz w:val="22"/>
          <w:szCs w:val="22"/>
        </w:rPr>
        <w:sectPr w:rsidR="00EC66DA" w:rsidRPr="00850446" w:rsidSect="00A03A3D">
          <w:footerReference w:type="default" r:id="rId8"/>
          <w:type w:val="continuous"/>
          <w:pgSz w:w="12240" w:h="15840" w:code="1"/>
          <w:pgMar w:top="720" w:right="864" w:bottom="720" w:left="1440" w:header="432" w:footer="144" w:gutter="0"/>
          <w:lnNumType w:countBy="1" w:restart="continuous"/>
          <w:cols w:space="720"/>
        </w:sectPr>
      </w:pPr>
    </w:p>
    <w:p w14:paraId="740B358D" w14:textId="2E0C12DE" w:rsidR="00BC55B4" w:rsidRPr="00850446" w:rsidRDefault="00AF7B34" w:rsidP="002960BF">
      <w:pPr>
        <w:pStyle w:val="Title"/>
        <w:ind w:left="360"/>
        <w:jc w:val="left"/>
        <w:rPr>
          <w:sz w:val="22"/>
          <w:szCs w:val="22"/>
        </w:rPr>
      </w:pPr>
      <w:r w:rsidRPr="00850446">
        <w:rPr>
          <w:sz w:val="22"/>
          <w:szCs w:val="22"/>
        </w:rPr>
        <w:t>Resolution</w:t>
      </w:r>
      <w:r w:rsidR="00EF52FC" w:rsidRPr="00850446">
        <w:rPr>
          <w:sz w:val="22"/>
          <w:szCs w:val="22"/>
        </w:rPr>
        <w:t xml:space="preserve"> Authorizing </w:t>
      </w:r>
      <w:r w:rsidR="002960BF">
        <w:rPr>
          <w:sz w:val="22"/>
          <w:szCs w:val="22"/>
        </w:rPr>
        <w:t xml:space="preserve">a </w:t>
      </w:r>
      <w:r w:rsidR="00D07164">
        <w:rPr>
          <w:sz w:val="22"/>
          <w:szCs w:val="22"/>
        </w:rPr>
        <w:t>Three-year</w:t>
      </w:r>
      <w:r w:rsidR="002960BF">
        <w:rPr>
          <w:sz w:val="22"/>
          <w:szCs w:val="22"/>
        </w:rPr>
        <w:t xml:space="preserve"> contract with GLS </w:t>
      </w:r>
      <w:r w:rsidR="00CB55B6">
        <w:rPr>
          <w:sz w:val="22"/>
          <w:szCs w:val="22"/>
        </w:rPr>
        <w:t>UTILITY</w:t>
      </w:r>
      <w:r w:rsidR="002960BF">
        <w:rPr>
          <w:sz w:val="22"/>
          <w:szCs w:val="22"/>
        </w:rPr>
        <w:t xml:space="preserve"> LLC to be the </w:t>
      </w:r>
      <w:r w:rsidR="00CB55B6">
        <w:rPr>
          <w:sz w:val="22"/>
          <w:szCs w:val="22"/>
        </w:rPr>
        <w:t>F</w:t>
      </w:r>
      <w:r w:rsidR="002960BF">
        <w:rPr>
          <w:sz w:val="22"/>
          <w:szCs w:val="22"/>
        </w:rPr>
        <w:t xml:space="preserve">iber </w:t>
      </w:r>
      <w:r w:rsidR="00CB55B6">
        <w:rPr>
          <w:sz w:val="22"/>
          <w:szCs w:val="22"/>
        </w:rPr>
        <w:t>L</w:t>
      </w:r>
      <w:r w:rsidR="002960BF">
        <w:rPr>
          <w:sz w:val="22"/>
          <w:szCs w:val="22"/>
        </w:rPr>
        <w:t xml:space="preserve">ocating </w:t>
      </w:r>
      <w:r w:rsidR="00CB55B6">
        <w:rPr>
          <w:sz w:val="22"/>
          <w:szCs w:val="22"/>
        </w:rPr>
        <w:t>S</w:t>
      </w:r>
      <w:r w:rsidR="002960BF">
        <w:rPr>
          <w:sz w:val="22"/>
          <w:szCs w:val="22"/>
        </w:rPr>
        <w:t xml:space="preserve">ervice for Sauk County </w:t>
      </w:r>
    </w:p>
    <w:p w14:paraId="1B4E4829" w14:textId="77777777" w:rsidR="00CB55B6" w:rsidRDefault="00CB55B6" w:rsidP="00BC55B4">
      <w:pPr>
        <w:pStyle w:val="Title"/>
        <w:ind w:left="360"/>
        <w:jc w:val="left"/>
        <w:rPr>
          <w:sz w:val="22"/>
          <w:szCs w:val="22"/>
        </w:rPr>
      </w:pPr>
    </w:p>
    <w:p w14:paraId="0864F224" w14:textId="147D05A5" w:rsidR="00BC55B4" w:rsidRPr="00850446" w:rsidRDefault="00BC55B4" w:rsidP="00BC55B4">
      <w:pPr>
        <w:pStyle w:val="Title"/>
        <w:ind w:left="360"/>
        <w:jc w:val="left"/>
        <w:rPr>
          <w:sz w:val="22"/>
          <w:szCs w:val="22"/>
        </w:rPr>
      </w:pPr>
      <w:r w:rsidRPr="00850446">
        <w:rPr>
          <w:sz w:val="22"/>
          <w:szCs w:val="22"/>
        </w:rPr>
        <w:t xml:space="preserve">Resolution offered by the </w:t>
      </w:r>
      <w:r w:rsidR="00E872B7" w:rsidRPr="00850446">
        <w:rPr>
          <w:sz w:val="22"/>
          <w:szCs w:val="22"/>
        </w:rPr>
        <w:t>Property</w:t>
      </w:r>
      <w:r w:rsidRPr="00850446">
        <w:rPr>
          <w:sz w:val="22"/>
          <w:szCs w:val="22"/>
        </w:rPr>
        <w:t xml:space="preserve"> Committee</w:t>
      </w:r>
    </w:p>
    <w:p w14:paraId="25211CE5" w14:textId="77777777" w:rsidR="00721697" w:rsidRPr="00850446" w:rsidRDefault="00721697" w:rsidP="00721697">
      <w:pPr>
        <w:widowControl/>
        <w:ind w:firstLine="360"/>
        <w:rPr>
          <w:rFonts w:eastAsia="Calibri"/>
          <w:b/>
          <w:snapToGrid/>
          <w:sz w:val="22"/>
          <w:szCs w:val="22"/>
        </w:rPr>
      </w:pPr>
    </w:p>
    <w:p w14:paraId="61DDCC6E" w14:textId="3E603F4E" w:rsidR="001A7E42" w:rsidRPr="00850446" w:rsidRDefault="00721697" w:rsidP="001A7E42">
      <w:pPr>
        <w:ind w:left="360"/>
        <w:rPr>
          <w:sz w:val="22"/>
          <w:szCs w:val="22"/>
        </w:rPr>
      </w:pPr>
      <w:r w:rsidRPr="00850446">
        <w:rPr>
          <w:rFonts w:eastAsia="Calibri"/>
          <w:b/>
          <w:snapToGrid/>
          <w:sz w:val="22"/>
          <w:szCs w:val="22"/>
        </w:rPr>
        <w:t xml:space="preserve">BACKGROUND: </w:t>
      </w:r>
      <w:r w:rsidR="00D07164">
        <w:rPr>
          <w:rFonts w:eastAsia="Calibri"/>
          <w:bCs/>
          <w:snapToGrid/>
          <w:sz w:val="22"/>
          <w:szCs w:val="22"/>
        </w:rPr>
        <w:t>Sauk County owns and maintains over 196 miles of fiber optic network</w:t>
      </w:r>
      <w:r w:rsidR="006A200B">
        <w:rPr>
          <w:rFonts w:eastAsia="Calibri"/>
          <w:bCs/>
          <w:snapToGrid/>
          <w:sz w:val="22"/>
          <w:szCs w:val="22"/>
        </w:rPr>
        <w:t xml:space="preserve"> cable and conduit</w:t>
      </w:r>
      <w:r w:rsidR="00D07164">
        <w:rPr>
          <w:rFonts w:eastAsia="Calibri"/>
          <w:bCs/>
          <w:snapToGrid/>
          <w:sz w:val="22"/>
          <w:szCs w:val="22"/>
        </w:rPr>
        <w:t xml:space="preserve"> throughout the county.  Sauk County participates with Digger’s Hotline to locate the fiber</w:t>
      </w:r>
      <w:r w:rsidR="00CB55B6">
        <w:rPr>
          <w:rFonts w:eastAsia="Calibri"/>
          <w:bCs/>
          <w:snapToGrid/>
          <w:sz w:val="22"/>
          <w:szCs w:val="22"/>
        </w:rPr>
        <w:t xml:space="preserve"> throughout the county</w:t>
      </w:r>
      <w:r w:rsidR="00D07164">
        <w:rPr>
          <w:rFonts w:eastAsia="Calibri"/>
          <w:bCs/>
          <w:snapToGrid/>
          <w:sz w:val="22"/>
          <w:szCs w:val="22"/>
        </w:rPr>
        <w:t xml:space="preserve">.  Sauk County had a </w:t>
      </w:r>
      <w:r w:rsidR="00CB55B6">
        <w:rPr>
          <w:rFonts w:eastAsia="Calibri"/>
          <w:bCs/>
          <w:snapToGrid/>
          <w:sz w:val="22"/>
          <w:szCs w:val="22"/>
        </w:rPr>
        <w:t>long-standing</w:t>
      </w:r>
      <w:r w:rsidR="00D07164">
        <w:rPr>
          <w:rFonts w:eastAsia="Calibri"/>
          <w:bCs/>
          <w:snapToGrid/>
          <w:sz w:val="22"/>
          <w:szCs w:val="22"/>
        </w:rPr>
        <w:t xml:space="preserve"> contract with Vannguard</w:t>
      </w:r>
      <w:r w:rsidR="00CB55B6">
        <w:rPr>
          <w:rFonts w:eastAsia="Calibri"/>
          <w:bCs/>
          <w:snapToGrid/>
          <w:sz w:val="22"/>
          <w:szCs w:val="22"/>
        </w:rPr>
        <w:t xml:space="preserve"> Utility</w:t>
      </w:r>
      <w:r w:rsidR="00D07164">
        <w:rPr>
          <w:rFonts w:eastAsia="Calibri"/>
          <w:bCs/>
          <w:snapToGrid/>
          <w:sz w:val="22"/>
          <w:szCs w:val="22"/>
        </w:rPr>
        <w:t xml:space="preserve"> </w:t>
      </w:r>
      <w:r w:rsidR="00CB55B6">
        <w:rPr>
          <w:rFonts w:eastAsia="Calibri"/>
          <w:bCs/>
          <w:snapToGrid/>
          <w:sz w:val="22"/>
          <w:szCs w:val="22"/>
        </w:rPr>
        <w:t>l</w:t>
      </w:r>
      <w:r w:rsidR="00D07164">
        <w:rPr>
          <w:rFonts w:eastAsia="Calibri"/>
          <w:bCs/>
          <w:snapToGrid/>
          <w:sz w:val="22"/>
          <w:szCs w:val="22"/>
        </w:rPr>
        <w:t xml:space="preserve">ocating services to mark the County fiber when a ticket was called into Digger’s Hotline.  Vannguard </w:t>
      </w:r>
      <w:r w:rsidR="00CB55B6">
        <w:rPr>
          <w:rFonts w:eastAsia="Calibri"/>
          <w:bCs/>
          <w:snapToGrid/>
          <w:sz w:val="22"/>
          <w:szCs w:val="22"/>
        </w:rPr>
        <w:t>U</w:t>
      </w:r>
      <w:r w:rsidR="00D07164">
        <w:rPr>
          <w:rFonts w:eastAsia="Calibri"/>
          <w:bCs/>
          <w:snapToGrid/>
          <w:sz w:val="22"/>
          <w:szCs w:val="22"/>
        </w:rPr>
        <w:t xml:space="preserve">tility notified </w:t>
      </w:r>
      <w:r w:rsidR="00D07164" w:rsidRPr="00D07164">
        <w:rPr>
          <w:rFonts w:eastAsia="Calibri"/>
          <w:bCs/>
          <w:snapToGrid/>
          <w:sz w:val="22"/>
          <w:szCs w:val="22"/>
        </w:rPr>
        <w:t>Sauk County</w:t>
      </w:r>
      <w:r w:rsidR="00D07164">
        <w:rPr>
          <w:rFonts w:eastAsia="Calibri"/>
          <w:bCs/>
          <w:snapToGrid/>
          <w:sz w:val="22"/>
          <w:szCs w:val="22"/>
        </w:rPr>
        <w:t xml:space="preserve"> in March of 2022 that as of May 1</w:t>
      </w:r>
      <w:r w:rsidR="00D07164" w:rsidRPr="00D07164">
        <w:rPr>
          <w:rFonts w:eastAsia="Calibri"/>
          <w:bCs/>
          <w:snapToGrid/>
          <w:sz w:val="22"/>
          <w:szCs w:val="22"/>
          <w:vertAlign w:val="superscript"/>
        </w:rPr>
        <w:t>st</w:t>
      </w:r>
      <w:r w:rsidR="00874FC1">
        <w:rPr>
          <w:rFonts w:eastAsia="Calibri"/>
          <w:bCs/>
          <w:snapToGrid/>
          <w:sz w:val="22"/>
          <w:szCs w:val="22"/>
        </w:rPr>
        <w:t>,</w:t>
      </w:r>
      <w:r w:rsidR="00D07164">
        <w:rPr>
          <w:rFonts w:eastAsia="Calibri"/>
          <w:bCs/>
          <w:snapToGrid/>
          <w:sz w:val="22"/>
          <w:szCs w:val="22"/>
        </w:rPr>
        <w:t xml:space="preserve"> 2022 they would no longer be marking the county’s fiber.  In between </w:t>
      </w:r>
      <w:r w:rsidR="00B93947">
        <w:rPr>
          <w:rFonts w:eastAsia="Calibri"/>
          <w:bCs/>
          <w:snapToGrid/>
          <w:sz w:val="22"/>
          <w:szCs w:val="22"/>
        </w:rPr>
        <w:t>Vannguard</w:t>
      </w:r>
      <w:r w:rsidR="00CB55B6">
        <w:rPr>
          <w:rFonts w:eastAsia="Calibri"/>
          <w:bCs/>
          <w:snapToGrid/>
          <w:sz w:val="22"/>
          <w:szCs w:val="22"/>
        </w:rPr>
        <w:t xml:space="preserve"> Utility</w:t>
      </w:r>
      <w:r w:rsidR="00D07164">
        <w:rPr>
          <w:rFonts w:eastAsia="Calibri"/>
          <w:bCs/>
          <w:snapToGrid/>
          <w:sz w:val="22"/>
          <w:szCs w:val="22"/>
        </w:rPr>
        <w:t xml:space="preserve"> no longer providing locating services and getting a </w:t>
      </w:r>
      <w:r w:rsidR="00CB55B6">
        <w:rPr>
          <w:rFonts w:eastAsia="Calibri"/>
          <w:bCs/>
          <w:snapToGrid/>
          <w:sz w:val="22"/>
          <w:szCs w:val="22"/>
        </w:rPr>
        <w:t xml:space="preserve">new </w:t>
      </w:r>
      <w:r w:rsidR="00D07164">
        <w:rPr>
          <w:rFonts w:eastAsia="Calibri"/>
          <w:bCs/>
          <w:snapToGrid/>
          <w:sz w:val="22"/>
          <w:szCs w:val="22"/>
        </w:rPr>
        <w:t>contract established with a new contractor</w:t>
      </w:r>
      <w:r w:rsidR="00CB55B6">
        <w:rPr>
          <w:rFonts w:eastAsia="Calibri"/>
          <w:bCs/>
          <w:snapToGrid/>
          <w:sz w:val="22"/>
          <w:szCs w:val="22"/>
        </w:rPr>
        <w:t>,</w:t>
      </w:r>
      <w:r w:rsidR="00D07164">
        <w:rPr>
          <w:rFonts w:eastAsia="Calibri"/>
          <w:bCs/>
          <w:snapToGrid/>
          <w:sz w:val="22"/>
          <w:szCs w:val="22"/>
        </w:rPr>
        <w:t xml:space="preserve"> Building Services Staff have been completing the locates.  Bids were requested for a multi-year contract to mark the Sauk County fiber network.  Two bidders responded to the request</w:t>
      </w:r>
      <w:r w:rsidR="00A73832">
        <w:rPr>
          <w:rFonts w:eastAsia="Calibri"/>
          <w:bCs/>
          <w:snapToGrid/>
          <w:sz w:val="22"/>
          <w:szCs w:val="22"/>
        </w:rPr>
        <w:t xml:space="preserve">, </w:t>
      </w:r>
      <w:r w:rsidR="00D07164">
        <w:rPr>
          <w:rFonts w:eastAsia="Calibri"/>
          <w:bCs/>
          <w:snapToGrid/>
          <w:sz w:val="22"/>
          <w:szCs w:val="22"/>
        </w:rPr>
        <w:t xml:space="preserve">GLS Utility LLC and Excel Underground LLC.  </w:t>
      </w:r>
      <w:r w:rsidR="00B93947">
        <w:rPr>
          <w:rFonts w:eastAsia="Calibri"/>
          <w:bCs/>
          <w:snapToGrid/>
          <w:sz w:val="22"/>
          <w:szCs w:val="22"/>
        </w:rPr>
        <w:t xml:space="preserve">GLS Utility LLC was the most responsive bidder.  It is estimated that over the </w:t>
      </w:r>
      <w:r w:rsidR="00CB55B6">
        <w:rPr>
          <w:rFonts w:eastAsia="Calibri"/>
          <w:bCs/>
          <w:snapToGrid/>
          <w:sz w:val="22"/>
          <w:szCs w:val="22"/>
        </w:rPr>
        <w:t>three-year</w:t>
      </w:r>
      <w:r w:rsidR="00B93947">
        <w:rPr>
          <w:rFonts w:eastAsia="Calibri"/>
          <w:bCs/>
          <w:snapToGrid/>
          <w:sz w:val="22"/>
          <w:szCs w:val="22"/>
        </w:rPr>
        <w:t xml:space="preserve"> contract with GLS Utility LLC, Sauk County will spend</w:t>
      </w:r>
      <w:r w:rsidR="00CB55B6">
        <w:rPr>
          <w:rFonts w:eastAsia="Calibri"/>
          <w:bCs/>
          <w:snapToGrid/>
          <w:sz w:val="22"/>
          <w:szCs w:val="22"/>
        </w:rPr>
        <w:t xml:space="preserve"> approximately</w:t>
      </w:r>
      <w:r w:rsidR="00B93947">
        <w:rPr>
          <w:rFonts w:eastAsia="Calibri"/>
          <w:bCs/>
          <w:snapToGrid/>
          <w:sz w:val="22"/>
          <w:szCs w:val="22"/>
        </w:rPr>
        <w:t xml:space="preserve"> $200,609.  The funds for this contract are a part of the Building </w:t>
      </w:r>
      <w:r w:rsidR="00A73832">
        <w:rPr>
          <w:rFonts w:eastAsia="Calibri"/>
          <w:bCs/>
          <w:snapToGrid/>
          <w:sz w:val="22"/>
          <w:szCs w:val="22"/>
        </w:rPr>
        <w:t>S</w:t>
      </w:r>
      <w:r w:rsidR="00B93947">
        <w:rPr>
          <w:rFonts w:eastAsia="Calibri"/>
          <w:bCs/>
          <w:snapToGrid/>
          <w:sz w:val="22"/>
          <w:szCs w:val="22"/>
        </w:rPr>
        <w:t xml:space="preserve">ervices annual contracted </w:t>
      </w:r>
      <w:r w:rsidR="00A73832">
        <w:rPr>
          <w:rFonts w:eastAsia="Calibri"/>
          <w:bCs/>
          <w:snapToGrid/>
          <w:sz w:val="22"/>
          <w:szCs w:val="22"/>
        </w:rPr>
        <w:t>s</w:t>
      </w:r>
      <w:r w:rsidR="00B93947">
        <w:rPr>
          <w:rFonts w:eastAsia="Calibri"/>
          <w:bCs/>
          <w:snapToGrid/>
          <w:sz w:val="22"/>
          <w:szCs w:val="22"/>
        </w:rPr>
        <w:t>ervices budget.</w:t>
      </w:r>
    </w:p>
    <w:p w14:paraId="04A0E470" w14:textId="77777777" w:rsidR="00FD79AB" w:rsidRPr="00850446" w:rsidRDefault="00FD79AB" w:rsidP="00C745E1">
      <w:pPr>
        <w:pStyle w:val="Title"/>
        <w:jc w:val="left"/>
        <w:rPr>
          <w:sz w:val="22"/>
          <w:szCs w:val="22"/>
        </w:rPr>
      </w:pPr>
    </w:p>
    <w:p w14:paraId="1FF105F3" w14:textId="0B9E1A36" w:rsidR="00C745E1" w:rsidRPr="00850446" w:rsidRDefault="00C745E1" w:rsidP="00C745E1">
      <w:pPr>
        <w:ind w:left="360"/>
        <w:rPr>
          <w:sz w:val="22"/>
          <w:szCs w:val="22"/>
        </w:rPr>
      </w:pPr>
      <w:r w:rsidRPr="00850446">
        <w:rPr>
          <w:sz w:val="22"/>
          <w:szCs w:val="22"/>
        </w:rPr>
        <w:t xml:space="preserve">Resolved by the Board of Supervisors of </w:t>
      </w:r>
      <w:r w:rsidR="0054090B" w:rsidRPr="00850446">
        <w:rPr>
          <w:sz w:val="22"/>
          <w:szCs w:val="22"/>
        </w:rPr>
        <w:t>Sauk</w:t>
      </w:r>
      <w:r w:rsidRPr="00850446">
        <w:rPr>
          <w:sz w:val="22"/>
          <w:szCs w:val="22"/>
        </w:rPr>
        <w:t xml:space="preserve"> County, Wisconsin:</w:t>
      </w:r>
    </w:p>
    <w:p w14:paraId="7E2276DF" w14:textId="37D82F82" w:rsidR="00A842C9" w:rsidRPr="00850446" w:rsidRDefault="00A842C9" w:rsidP="00A842C9">
      <w:pPr>
        <w:widowControl/>
        <w:rPr>
          <w:rFonts w:eastAsia="Calibri"/>
          <w:bCs/>
          <w:snapToGrid/>
          <w:sz w:val="22"/>
          <w:szCs w:val="22"/>
        </w:rPr>
      </w:pPr>
    </w:p>
    <w:p w14:paraId="4B2E4687" w14:textId="3F2039DD" w:rsidR="00471E39" w:rsidRDefault="00FD79AB" w:rsidP="0029447D">
      <w:pPr>
        <w:widowControl/>
        <w:ind w:left="360"/>
        <w:rPr>
          <w:sz w:val="22"/>
          <w:szCs w:val="22"/>
        </w:rPr>
      </w:pPr>
      <w:r w:rsidRPr="00850446">
        <w:rPr>
          <w:rFonts w:eastAsia="Calibri"/>
          <w:b/>
          <w:snapToGrid/>
          <w:sz w:val="22"/>
          <w:szCs w:val="22"/>
        </w:rPr>
        <w:t>THEREFORE, BE IT RESOLVED</w:t>
      </w:r>
      <w:r w:rsidR="0032319A">
        <w:rPr>
          <w:rFonts w:eastAsia="Calibri"/>
          <w:b/>
          <w:snapToGrid/>
          <w:sz w:val="22"/>
          <w:szCs w:val="22"/>
        </w:rPr>
        <w:t xml:space="preserve"> THAT</w:t>
      </w:r>
      <w:r w:rsidRPr="00850446">
        <w:rPr>
          <w:rFonts w:eastAsia="Calibri"/>
          <w:b/>
          <w:snapToGrid/>
          <w:sz w:val="22"/>
          <w:szCs w:val="22"/>
        </w:rPr>
        <w:t>,</w:t>
      </w:r>
      <w:r w:rsidR="0032319A">
        <w:rPr>
          <w:rFonts w:eastAsia="Calibri"/>
          <w:snapToGrid/>
          <w:sz w:val="22"/>
          <w:szCs w:val="22"/>
        </w:rPr>
        <w:t xml:space="preserve"> </w:t>
      </w:r>
      <w:r w:rsidR="00A842C9" w:rsidRPr="00850446">
        <w:rPr>
          <w:rFonts w:eastAsia="Calibri"/>
          <w:snapToGrid/>
          <w:sz w:val="22"/>
          <w:szCs w:val="22"/>
        </w:rPr>
        <w:t xml:space="preserve">the Sauk County Board of Supervisors, </w:t>
      </w:r>
      <w:r w:rsidR="0030767C" w:rsidRPr="00850446">
        <w:rPr>
          <w:rFonts w:eastAsia="Calibri"/>
          <w:snapToGrid/>
          <w:sz w:val="22"/>
          <w:szCs w:val="22"/>
        </w:rPr>
        <w:t>m</w:t>
      </w:r>
      <w:r w:rsidR="00A842C9" w:rsidRPr="00850446">
        <w:rPr>
          <w:rFonts w:eastAsia="Calibri"/>
          <w:snapToGrid/>
          <w:sz w:val="22"/>
          <w:szCs w:val="22"/>
        </w:rPr>
        <w:t xml:space="preserve">et in regular session, hereby authorizes the County </w:t>
      </w:r>
      <w:r w:rsidR="00850446" w:rsidRPr="00850446">
        <w:rPr>
          <w:rFonts w:eastAsia="Calibri"/>
          <w:snapToGrid/>
          <w:sz w:val="22"/>
          <w:szCs w:val="22"/>
        </w:rPr>
        <w:t>Administrator</w:t>
      </w:r>
      <w:r w:rsidR="00A842C9" w:rsidRPr="00850446">
        <w:rPr>
          <w:rFonts w:eastAsia="Calibri"/>
          <w:snapToGrid/>
          <w:sz w:val="22"/>
          <w:szCs w:val="22"/>
        </w:rPr>
        <w:t xml:space="preserve"> to sign </w:t>
      </w:r>
      <w:r w:rsidR="00B93947">
        <w:rPr>
          <w:rFonts w:eastAsia="Calibri"/>
          <w:snapToGrid/>
          <w:sz w:val="22"/>
          <w:szCs w:val="22"/>
        </w:rPr>
        <w:t>a three</w:t>
      </w:r>
      <w:r w:rsidR="00A842C9" w:rsidRPr="00850446">
        <w:rPr>
          <w:rFonts w:eastAsia="Calibri"/>
          <w:snapToGrid/>
          <w:sz w:val="22"/>
          <w:szCs w:val="22"/>
        </w:rPr>
        <w:t xml:space="preserve"> </w:t>
      </w:r>
      <w:r w:rsidR="00850446" w:rsidRPr="00850446">
        <w:rPr>
          <w:rFonts w:eastAsia="Calibri"/>
          <w:snapToGrid/>
          <w:sz w:val="22"/>
          <w:szCs w:val="22"/>
        </w:rPr>
        <w:t xml:space="preserve">contract with </w:t>
      </w:r>
      <w:r w:rsidR="00B93947">
        <w:rPr>
          <w:rFonts w:eastAsia="Calibri"/>
          <w:snapToGrid/>
          <w:sz w:val="22"/>
          <w:szCs w:val="22"/>
        </w:rPr>
        <w:t>GLS Utility LLC to be the fiber locating contractor for Sauk County</w:t>
      </w:r>
      <w:r w:rsidR="00DE25B5">
        <w:rPr>
          <w:rFonts w:eastAsia="Calibri"/>
          <w:snapToGrid/>
          <w:sz w:val="22"/>
          <w:szCs w:val="22"/>
        </w:rPr>
        <w:t>.</w:t>
      </w:r>
    </w:p>
    <w:p w14:paraId="4ACE49C8" w14:textId="77777777" w:rsidR="00E0225C" w:rsidRPr="00850446" w:rsidRDefault="00E0225C" w:rsidP="00F85010">
      <w:pPr>
        <w:rPr>
          <w:sz w:val="22"/>
          <w:szCs w:val="22"/>
        </w:rPr>
      </w:pPr>
    </w:p>
    <w:p w14:paraId="706E40B9" w14:textId="71B36CE4" w:rsidR="00BC55B4" w:rsidRPr="00850446" w:rsidRDefault="004977A5" w:rsidP="00BC55B4">
      <w:pPr>
        <w:ind w:left="360"/>
        <w:rPr>
          <w:sz w:val="22"/>
          <w:szCs w:val="22"/>
        </w:rPr>
      </w:pPr>
      <w:r w:rsidRPr="00850446">
        <w:rPr>
          <w:sz w:val="22"/>
          <w:szCs w:val="22"/>
        </w:rPr>
        <w:t>A</w:t>
      </w:r>
      <w:r w:rsidR="00BC55B4" w:rsidRPr="00850446">
        <w:rPr>
          <w:sz w:val="22"/>
          <w:szCs w:val="22"/>
        </w:rPr>
        <w:t xml:space="preserve">pproved for presentation to the County Board by the </w:t>
      </w:r>
      <w:r w:rsidR="000C0F4E">
        <w:rPr>
          <w:sz w:val="22"/>
          <w:szCs w:val="22"/>
        </w:rPr>
        <w:t>Property</w:t>
      </w:r>
      <w:r w:rsidR="00BC55B4" w:rsidRPr="00850446">
        <w:rPr>
          <w:sz w:val="22"/>
          <w:szCs w:val="22"/>
        </w:rPr>
        <w:t xml:space="preserve"> Committee</w:t>
      </w:r>
      <w:r w:rsidRPr="00850446">
        <w:rPr>
          <w:sz w:val="22"/>
          <w:szCs w:val="22"/>
        </w:rPr>
        <w:t xml:space="preserve">, this </w:t>
      </w:r>
      <w:r w:rsidR="00B93947">
        <w:rPr>
          <w:sz w:val="22"/>
          <w:szCs w:val="22"/>
        </w:rPr>
        <w:t>2</w:t>
      </w:r>
      <w:r w:rsidR="005969F9">
        <w:rPr>
          <w:sz w:val="22"/>
          <w:szCs w:val="22"/>
        </w:rPr>
        <w:t>1</w:t>
      </w:r>
      <w:r w:rsidR="00023497">
        <w:rPr>
          <w:sz w:val="22"/>
          <w:szCs w:val="22"/>
        </w:rPr>
        <w:t>st</w:t>
      </w:r>
      <w:r w:rsidRPr="00850446">
        <w:rPr>
          <w:sz w:val="22"/>
          <w:szCs w:val="22"/>
        </w:rPr>
        <w:t xml:space="preserve"> day of </w:t>
      </w:r>
      <w:r w:rsidR="00B93947">
        <w:rPr>
          <w:sz w:val="22"/>
          <w:szCs w:val="22"/>
        </w:rPr>
        <w:t>June</w:t>
      </w:r>
      <w:r w:rsidRPr="00850446">
        <w:rPr>
          <w:sz w:val="22"/>
          <w:szCs w:val="22"/>
        </w:rPr>
        <w:t xml:space="preserve"> 202</w:t>
      </w:r>
      <w:r w:rsidR="009C718B" w:rsidRPr="00850446">
        <w:rPr>
          <w:sz w:val="22"/>
          <w:szCs w:val="22"/>
        </w:rPr>
        <w:t>2</w:t>
      </w:r>
      <w:r w:rsidR="000F5C3D" w:rsidRPr="00850446">
        <w:rPr>
          <w:sz w:val="22"/>
          <w:szCs w:val="22"/>
        </w:rPr>
        <w:t>.</w:t>
      </w:r>
    </w:p>
    <w:p w14:paraId="05527446" w14:textId="0B764ED1" w:rsidR="00EC66DA" w:rsidRPr="00850446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color w:val="000000"/>
          <w:sz w:val="22"/>
          <w:szCs w:val="22"/>
        </w:rPr>
      </w:pPr>
    </w:p>
    <w:p w14:paraId="33DF39B0" w14:textId="44DF030A" w:rsidR="00BC55B4" w:rsidRPr="00850446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color w:val="000000"/>
          <w:sz w:val="22"/>
          <w:szCs w:val="22"/>
        </w:rPr>
      </w:pPr>
      <w:r w:rsidRPr="00850446">
        <w:rPr>
          <w:color w:val="000000"/>
          <w:sz w:val="22"/>
          <w:szCs w:val="22"/>
        </w:rPr>
        <w:t xml:space="preserve">Consent Agenda Item: </w:t>
      </w:r>
      <w:r w:rsidR="004977A5" w:rsidRPr="00850446">
        <w:rPr>
          <w:color w:val="000000"/>
          <w:sz w:val="22"/>
          <w:szCs w:val="22"/>
        </w:rPr>
        <w:t>[</w:t>
      </w:r>
      <w:r w:rsidR="00E0225C" w:rsidRPr="00850446">
        <w:rPr>
          <w:color w:val="000000"/>
          <w:sz w:val="22"/>
          <w:szCs w:val="22"/>
        </w:rPr>
        <w:t xml:space="preserve"> </w:t>
      </w:r>
      <w:r w:rsidR="004977A5" w:rsidRPr="00850446">
        <w:rPr>
          <w:color w:val="000000"/>
          <w:sz w:val="22"/>
          <w:szCs w:val="22"/>
        </w:rPr>
        <w:t xml:space="preserve">] </w:t>
      </w:r>
      <w:r w:rsidRPr="00850446">
        <w:rPr>
          <w:color w:val="000000"/>
          <w:sz w:val="22"/>
          <w:szCs w:val="22"/>
        </w:rPr>
        <w:t xml:space="preserve">YES  </w:t>
      </w:r>
      <w:r w:rsidR="004977A5" w:rsidRPr="00850446">
        <w:rPr>
          <w:color w:val="000000"/>
          <w:sz w:val="22"/>
          <w:szCs w:val="22"/>
        </w:rPr>
        <w:t xml:space="preserve">[ </w:t>
      </w:r>
      <w:r w:rsidR="00E0225C" w:rsidRPr="00850446">
        <w:rPr>
          <w:color w:val="000000"/>
          <w:sz w:val="22"/>
          <w:szCs w:val="22"/>
        </w:rPr>
        <w:t>X</w:t>
      </w:r>
      <w:r w:rsidR="004977A5" w:rsidRPr="00850446">
        <w:rPr>
          <w:color w:val="000000"/>
          <w:sz w:val="22"/>
          <w:szCs w:val="22"/>
        </w:rPr>
        <w:t xml:space="preserve"> ] </w:t>
      </w:r>
      <w:r w:rsidRPr="00850446">
        <w:rPr>
          <w:color w:val="000000"/>
          <w:sz w:val="22"/>
          <w:szCs w:val="22"/>
        </w:rPr>
        <w:t>NO</w:t>
      </w:r>
    </w:p>
    <w:p w14:paraId="0400DFC0" w14:textId="77777777" w:rsidR="00BC55B4" w:rsidRPr="00850446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color w:val="000000"/>
          <w:sz w:val="22"/>
          <w:szCs w:val="22"/>
        </w:rPr>
      </w:pPr>
    </w:p>
    <w:p w14:paraId="590C7CA8" w14:textId="7326DB23" w:rsidR="00C120EA" w:rsidRPr="00850446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color w:val="000000"/>
          <w:sz w:val="22"/>
          <w:szCs w:val="22"/>
        </w:rPr>
      </w:pPr>
      <w:r w:rsidRPr="00850446">
        <w:rPr>
          <w:color w:val="000000"/>
          <w:sz w:val="22"/>
          <w:szCs w:val="22"/>
        </w:rPr>
        <w:t>Fiscal Impact: [</w:t>
      </w:r>
      <w:r w:rsidR="00B93947">
        <w:rPr>
          <w:color w:val="000000"/>
          <w:sz w:val="22"/>
          <w:szCs w:val="22"/>
        </w:rPr>
        <w:t xml:space="preserve">  </w:t>
      </w:r>
      <w:r w:rsidRPr="00850446">
        <w:rPr>
          <w:color w:val="000000"/>
          <w:sz w:val="22"/>
          <w:szCs w:val="22"/>
        </w:rPr>
        <w:t xml:space="preserve">] None   [ </w:t>
      </w:r>
      <w:r w:rsidR="00B93947">
        <w:rPr>
          <w:color w:val="000000"/>
          <w:sz w:val="22"/>
          <w:szCs w:val="22"/>
        </w:rPr>
        <w:t>X</w:t>
      </w:r>
      <w:r w:rsidRPr="00850446">
        <w:rPr>
          <w:color w:val="000000"/>
          <w:sz w:val="22"/>
          <w:szCs w:val="22"/>
        </w:rPr>
        <w:t xml:space="preserve"> ] Budgeted Expenditure    [</w:t>
      </w:r>
      <w:r w:rsidR="00C94BC8" w:rsidRPr="00850446">
        <w:rPr>
          <w:color w:val="000000"/>
          <w:sz w:val="22"/>
          <w:szCs w:val="22"/>
        </w:rPr>
        <w:t xml:space="preserve">  </w:t>
      </w:r>
      <w:r w:rsidRPr="00850446">
        <w:rPr>
          <w:color w:val="000000"/>
          <w:sz w:val="22"/>
          <w:szCs w:val="22"/>
        </w:rPr>
        <w:t>] Not Budgeted</w:t>
      </w:r>
    </w:p>
    <w:p w14:paraId="1EE5F02F" w14:textId="77777777" w:rsidR="00C120EA" w:rsidRPr="00850446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color w:val="000000"/>
          <w:sz w:val="16"/>
          <w:szCs w:val="16"/>
        </w:rPr>
      </w:pPr>
    </w:p>
    <w:p w14:paraId="4743452C" w14:textId="34FE3BA8" w:rsidR="00EC66DA" w:rsidRPr="00850446" w:rsidRDefault="00EC66DA">
      <w:pPr>
        <w:ind w:left="360"/>
        <w:rPr>
          <w:sz w:val="22"/>
          <w:szCs w:val="22"/>
        </w:rPr>
      </w:pPr>
      <w:r w:rsidRPr="00850446">
        <w:rPr>
          <w:bCs/>
          <w:sz w:val="22"/>
          <w:szCs w:val="22"/>
        </w:rPr>
        <w:t>Vote Required:</w:t>
      </w:r>
      <w:r w:rsidRPr="00850446">
        <w:rPr>
          <w:sz w:val="22"/>
          <w:szCs w:val="22"/>
        </w:rPr>
        <w:t xml:space="preserve">  Majority = </w:t>
      </w:r>
      <w:r w:rsidRPr="00850446">
        <w:rPr>
          <w:sz w:val="22"/>
          <w:szCs w:val="22"/>
          <w:u w:val="single"/>
        </w:rPr>
        <w:t>__</w:t>
      </w:r>
      <w:r w:rsidR="0044340E" w:rsidRPr="00850446">
        <w:rPr>
          <w:sz w:val="22"/>
          <w:szCs w:val="22"/>
          <w:u w:val="single"/>
        </w:rPr>
        <w:t>_</w:t>
      </w:r>
      <w:r w:rsidRPr="00850446">
        <w:rPr>
          <w:sz w:val="22"/>
          <w:szCs w:val="22"/>
          <w:u w:val="single"/>
        </w:rPr>
        <w:t>__</w:t>
      </w:r>
      <w:r w:rsidR="005C5158" w:rsidRPr="00850446">
        <w:rPr>
          <w:sz w:val="22"/>
          <w:szCs w:val="22"/>
        </w:rPr>
        <w:t xml:space="preserve">       </w:t>
      </w:r>
      <w:r w:rsidRPr="00850446">
        <w:rPr>
          <w:sz w:val="22"/>
          <w:szCs w:val="22"/>
        </w:rPr>
        <w:t xml:space="preserve">2/3 Majority = </w:t>
      </w:r>
      <w:r w:rsidRPr="00850446">
        <w:rPr>
          <w:sz w:val="22"/>
          <w:szCs w:val="22"/>
          <w:u w:val="single"/>
        </w:rPr>
        <w:t>_____</w:t>
      </w:r>
      <w:r w:rsidR="005C5158" w:rsidRPr="00850446">
        <w:rPr>
          <w:sz w:val="22"/>
          <w:szCs w:val="22"/>
        </w:rPr>
        <w:t xml:space="preserve">        3/4</w:t>
      </w:r>
      <w:r w:rsidRPr="00850446">
        <w:rPr>
          <w:sz w:val="22"/>
          <w:szCs w:val="22"/>
        </w:rPr>
        <w:t xml:space="preserve"> Majority = </w:t>
      </w:r>
      <w:r w:rsidRPr="00850446">
        <w:rPr>
          <w:sz w:val="22"/>
          <w:szCs w:val="22"/>
          <w:u w:val="single"/>
        </w:rPr>
        <w:t>_____</w:t>
      </w:r>
      <w:r w:rsidRPr="00850446">
        <w:rPr>
          <w:sz w:val="22"/>
          <w:szCs w:val="22"/>
        </w:rPr>
        <w:t>___</w:t>
      </w:r>
    </w:p>
    <w:p w14:paraId="7AC1751C" w14:textId="77777777" w:rsidR="00EC66DA" w:rsidRPr="00850446" w:rsidRDefault="00EC66DA">
      <w:pPr>
        <w:rPr>
          <w:sz w:val="22"/>
          <w:szCs w:val="22"/>
        </w:rPr>
      </w:pPr>
    </w:p>
    <w:p w14:paraId="6AB6A1FD" w14:textId="5581D29A" w:rsidR="00EC66DA" w:rsidRPr="00850446" w:rsidRDefault="00EC66DA">
      <w:pPr>
        <w:pStyle w:val="BodyText2"/>
        <w:ind w:left="360"/>
        <w:rPr>
          <w:rFonts w:ascii="Times New Roman" w:hAnsi="Times New Roman" w:cs="Times New Roman"/>
          <w:sz w:val="22"/>
          <w:szCs w:val="22"/>
        </w:rPr>
      </w:pPr>
      <w:r w:rsidRPr="00850446">
        <w:rPr>
          <w:rFonts w:ascii="Times New Roman" w:hAnsi="Times New Roman" w:cs="Times New Roman"/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 w:rsidRPr="00850446"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7E7F0BD6" w14:textId="414EB3AE" w:rsidR="00EC66DA" w:rsidRPr="00850446" w:rsidRDefault="009B220E" w:rsidP="00C03D0A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  <w:r w:rsidRPr="00850446">
        <w:rPr>
          <w:sz w:val="22"/>
          <w:szCs w:val="22"/>
        </w:rPr>
        <w:t xml:space="preserve"> </w:t>
      </w:r>
      <w:r w:rsidR="001267D1" w:rsidRPr="00850446">
        <w:rPr>
          <w:sz w:val="22"/>
          <w:szCs w:val="22"/>
        </w:rPr>
        <w:t xml:space="preserve">    </w:t>
      </w:r>
      <w:r w:rsidR="00552D19" w:rsidRPr="00850446">
        <w:rPr>
          <w:sz w:val="22"/>
          <w:szCs w:val="22"/>
        </w:rPr>
        <w:tab/>
      </w:r>
    </w:p>
    <w:p w14:paraId="6AF610CB" w14:textId="77777777" w:rsidR="00EC66DA" w:rsidRPr="00850446" w:rsidRDefault="00EC66DA">
      <w:pPr>
        <w:ind w:left="360"/>
        <w:rPr>
          <w:sz w:val="22"/>
          <w:szCs w:val="22"/>
        </w:rPr>
      </w:pPr>
      <w:r w:rsidRPr="00850446">
        <w:rPr>
          <w:sz w:val="22"/>
          <w:szCs w:val="22"/>
        </w:rPr>
        <w:t xml:space="preserve">Offered and passage moved by: </w:t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_________________________________</w:t>
      </w:r>
    </w:p>
    <w:p w14:paraId="7CEF25EB" w14:textId="0FA76B7B" w:rsidR="00EC66DA" w:rsidRPr="00850446" w:rsidRDefault="00AF192E">
      <w:pPr>
        <w:ind w:left="6300"/>
        <w:rPr>
          <w:sz w:val="22"/>
          <w:szCs w:val="22"/>
        </w:rPr>
      </w:pPr>
      <w:r w:rsidRPr="00850446">
        <w:rPr>
          <w:sz w:val="22"/>
          <w:szCs w:val="22"/>
        </w:rPr>
        <w:t>Carl Gruber</w:t>
      </w:r>
    </w:p>
    <w:p w14:paraId="24D3111F" w14:textId="77777777" w:rsidR="00AF192E" w:rsidRPr="00850446" w:rsidRDefault="00AF192E">
      <w:pPr>
        <w:ind w:left="6300"/>
        <w:rPr>
          <w:sz w:val="22"/>
          <w:szCs w:val="22"/>
        </w:rPr>
      </w:pPr>
    </w:p>
    <w:p w14:paraId="7D8E910B" w14:textId="77777777" w:rsidR="00EC66DA" w:rsidRPr="00850446" w:rsidRDefault="00195AA0" w:rsidP="00EF423E">
      <w:pPr>
        <w:rPr>
          <w:sz w:val="22"/>
          <w:szCs w:val="22"/>
        </w:rPr>
      </w:pPr>
      <w:r w:rsidRPr="00850446">
        <w:rPr>
          <w:sz w:val="22"/>
          <w:szCs w:val="22"/>
        </w:rPr>
        <w:t xml:space="preserve">     </w:t>
      </w:r>
      <w:r w:rsidR="00EF423E" w:rsidRPr="00850446">
        <w:rPr>
          <w:sz w:val="22"/>
          <w:szCs w:val="22"/>
        </w:rPr>
        <w:tab/>
      </w:r>
      <w:r w:rsidR="00EF423E" w:rsidRPr="00850446">
        <w:rPr>
          <w:sz w:val="22"/>
          <w:szCs w:val="22"/>
        </w:rPr>
        <w:tab/>
      </w:r>
      <w:r w:rsidR="00EF423E"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</w:t>
      </w:r>
      <w:r w:rsidR="00EC66DA" w:rsidRPr="00850446">
        <w:rPr>
          <w:sz w:val="22"/>
          <w:szCs w:val="22"/>
        </w:rPr>
        <w:t>_________________________________</w:t>
      </w:r>
    </w:p>
    <w:p w14:paraId="615F49C1" w14:textId="6097AA4B" w:rsidR="00EC66DA" w:rsidRPr="00850446" w:rsidRDefault="00AF192E">
      <w:pPr>
        <w:ind w:left="6300"/>
        <w:rPr>
          <w:sz w:val="22"/>
          <w:szCs w:val="22"/>
        </w:rPr>
      </w:pPr>
      <w:r w:rsidRPr="00850446">
        <w:rPr>
          <w:sz w:val="22"/>
          <w:szCs w:val="22"/>
        </w:rPr>
        <w:t>Mark “Smooth” Detter</w:t>
      </w:r>
    </w:p>
    <w:p w14:paraId="356CDB1C" w14:textId="77777777" w:rsidR="00AF192E" w:rsidRPr="00850446" w:rsidRDefault="00AF192E">
      <w:pPr>
        <w:ind w:left="6300"/>
        <w:rPr>
          <w:sz w:val="22"/>
          <w:szCs w:val="22"/>
        </w:rPr>
      </w:pPr>
    </w:p>
    <w:p w14:paraId="1F9D6D92" w14:textId="77777777" w:rsidR="00EF423E" w:rsidRPr="00850446" w:rsidRDefault="00EF423E" w:rsidP="00EF423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_________________________________</w:t>
      </w:r>
    </w:p>
    <w:p w14:paraId="75814890" w14:textId="2E686052" w:rsidR="00EF423E" w:rsidRPr="00850446" w:rsidRDefault="00EF423E" w:rsidP="00EF423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</w:t>
      </w:r>
      <w:r w:rsidR="00AF192E" w:rsidRPr="00850446">
        <w:rPr>
          <w:sz w:val="22"/>
          <w:szCs w:val="22"/>
        </w:rPr>
        <w:t xml:space="preserve">     Joel Chrisler</w:t>
      </w:r>
    </w:p>
    <w:p w14:paraId="7543F0F8" w14:textId="77777777" w:rsidR="00AF192E" w:rsidRPr="00850446" w:rsidRDefault="00AF192E" w:rsidP="00EF423E">
      <w:pPr>
        <w:rPr>
          <w:sz w:val="22"/>
          <w:szCs w:val="22"/>
        </w:rPr>
      </w:pPr>
    </w:p>
    <w:p w14:paraId="7BC9A3EF" w14:textId="77777777" w:rsidR="00EF423E" w:rsidRPr="00850446" w:rsidRDefault="00EF423E" w:rsidP="00EF423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_________________________________</w:t>
      </w:r>
    </w:p>
    <w:p w14:paraId="01A3101F" w14:textId="00780989" w:rsidR="00EF423E" w:rsidRPr="00850446" w:rsidRDefault="00EF423E" w:rsidP="00EF423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    </w:t>
      </w:r>
      <w:r w:rsidR="00B93947">
        <w:rPr>
          <w:sz w:val="22"/>
          <w:szCs w:val="22"/>
        </w:rPr>
        <w:t>Robert Spencer</w:t>
      </w:r>
    </w:p>
    <w:p w14:paraId="018AB383" w14:textId="77777777" w:rsidR="00AF192E" w:rsidRPr="00850446" w:rsidRDefault="00AF192E" w:rsidP="00EF423E">
      <w:pPr>
        <w:rPr>
          <w:sz w:val="22"/>
          <w:szCs w:val="22"/>
        </w:rPr>
      </w:pPr>
    </w:p>
    <w:p w14:paraId="67AE3852" w14:textId="77777777" w:rsidR="00EF423E" w:rsidRPr="00850446" w:rsidRDefault="00EF423E" w:rsidP="00EF423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_________________________________</w:t>
      </w:r>
    </w:p>
    <w:p w14:paraId="7368C98B" w14:textId="18D8EBE3" w:rsidR="000B03FA" w:rsidRPr="00850446" w:rsidRDefault="00EF423E">
      <w:pPr>
        <w:rPr>
          <w:sz w:val="22"/>
          <w:szCs w:val="22"/>
        </w:rPr>
      </w:pP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  <w:t xml:space="preserve">         </w:t>
      </w:r>
      <w:r w:rsidR="00C42B47">
        <w:rPr>
          <w:sz w:val="22"/>
          <w:szCs w:val="22"/>
        </w:rPr>
        <w:t>Tim Teelin</w:t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  <w:r w:rsidRPr="00850446">
        <w:rPr>
          <w:sz w:val="22"/>
          <w:szCs w:val="22"/>
        </w:rPr>
        <w:tab/>
      </w:r>
    </w:p>
    <w:p w14:paraId="2028C64D" w14:textId="2503746B" w:rsidR="000B03FA" w:rsidRPr="00E63BA1" w:rsidRDefault="000B03FA" w:rsidP="000B03FA">
      <w:pPr>
        <w:rPr>
          <w:sz w:val="22"/>
          <w:szCs w:val="22"/>
        </w:rPr>
      </w:pPr>
      <w:r w:rsidRPr="00E63BA1">
        <w:rPr>
          <w:sz w:val="22"/>
          <w:szCs w:val="22"/>
        </w:rPr>
        <w:t>Fiscal Note:</w:t>
      </w:r>
      <w:r w:rsidR="006153C0" w:rsidRPr="00E63BA1">
        <w:rPr>
          <w:sz w:val="22"/>
          <w:szCs w:val="22"/>
        </w:rPr>
        <w:t xml:space="preserve">  </w:t>
      </w:r>
      <w:r w:rsidR="00850446" w:rsidRPr="00E63BA1">
        <w:rPr>
          <w:sz w:val="22"/>
          <w:szCs w:val="22"/>
        </w:rPr>
        <w:t xml:space="preserve">Money </w:t>
      </w:r>
      <w:r w:rsidR="00B93947">
        <w:rPr>
          <w:sz w:val="22"/>
          <w:szCs w:val="22"/>
        </w:rPr>
        <w:t xml:space="preserve">is budgeted annually in the </w:t>
      </w:r>
      <w:r w:rsidR="0070707B">
        <w:rPr>
          <w:sz w:val="22"/>
          <w:szCs w:val="22"/>
        </w:rPr>
        <w:t xml:space="preserve">Building Services </w:t>
      </w:r>
      <w:r w:rsidR="00A73832">
        <w:rPr>
          <w:sz w:val="22"/>
          <w:szCs w:val="22"/>
        </w:rPr>
        <w:t>c</w:t>
      </w:r>
      <w:r w:rsidR="0070707B">
        <w:rPr>
          <w:sz w:val="22"/>
          <w:szCs w:val="22"/>
        </w:rPr>
        <w:t xml:space="preserve">ontracted </w:t>
      </w:r>
      <w:r w:rsidR="00A73832">
        <w:rPr>
          <w:sz w:val="22"/>
          <w:szCs w:val="22"/>
        </w:rPr>
        <w:t>s</w:t>
      </w:r>
      <w:r w:rsidR="0070707B">
        <w:rPr>
          <w:sz w:val="22"/>
          <w:szCs w:val="22"/>
        </w:rPr>
        <w:t>ervices account to cover the locating fees</w:t>
      </w:r>
      <w:r w:rsidR="000F5C3D" w:rsidRPr="00E63BA1">
        <w:rPr>
          <w:sz w:val="22"/>
          <w:szCs w:val="22"/>
        </w:rPr>
        <w:t>.</w:t>
      </w:r>
    </w:p>
    <w:p w14:paraId="574C3137" w14:textId="064A0C3C" w:rsidR="000B03FA" w:rsidRPr="00850446" w:rsidRDefault="000B03FA" w:rsidP="000B03FA">
      <w:pPr>
        <w:rPr>
          <w:sz w:val="22"/>
          <w:szCs w:val="22"/>
        </w:rPr>
      </w:pPr>
    </w:p>
    <w:p w14:paraId="61C40FD2" w14:textId="7B3D311F" w:rsidR="000335FD" w:rsidRDefault="000335FD" w:rsidP="000B03FA">
      <w:pPr>
        <w:rPr>
          <w:sz w:val="22"/>
          <w:szCs w:val="22"/>
        </w:rPr>
      </w:pPr>
      <w:r w:rsidRPr="00850446">
        <w:rPr>
          <w:sz w:val="22"/>
          <w:szCs w:val="22"/>
        </w:rPr>
        <w:t>MIS Note:</w:t>
      </w:r>
      <w:r w:rsidR="006153C0" w:rsidRPr="00850446">
        <w:rPr>
          <w:sz w:val="22"/>
          <w:szCs w:val="22"/>
        </w:rPr>
        <w:t xml:space="preserve">  </w:t>
      </w:r>
      <w:r w:rsidR="000F5C3D" w:rsidRPr="00850446">
        <w:rPr>
          <w:sz w:val="22"/>
          <w:szCs w:val="22"/>
        </w:rPr>
        <w:t>No Impact.</w:t>
      </w:r>
    </w:p>
    <w:p w14:paraId="75926486" w14:textId="44A0AF3D" w:rsidR="00A22D1C" w:rsidRDefault="00A22D1C" w:rsidP="000B03FA">
      <w:pPr>
        <w:rPr>
          <w:sz w:val="22"/>
          <w:szCs w:val="22"/>
        </w:rPr>
      </w:pPr>
    </w:p>
    <w:p w14:paraId="636F8815" w14:textId="77777777" w:rsidR="00E63BA1" w:rsidRDefault="00E63BA1" w:rsidP="000B03FA">
      <w:pPr>
        <w:rPr>
          <w:sz w:val="22"/>
          <w:szCs w:val="22"/>
        </w:rPr>
      </w:pPr>
    </w:p>
    <w:tbl>
      <w:tblPr>
        <w:tblpPr w:leftFromText="180" w:rightFromText="180" w:horzAnchor="margin" w:tblpY="1275"/>
        <w:tblW w:w="7793" w:type="dxa"/>
        <w:tblLook w:val="04A0" w:firstRow="1" w:lastRow="0" w:firstColumn="1" w:lastColumn="0" w:noHBand="0" w:noVBand="1"/>
      </w:tblPr>
      <w:tblGrid>
        <w:gridCol w:w="1625"/>
        <w:gridCol w:w="1193"/>
        <w:gridCol w:w="877"/>
        <w:gridCol w:w="690"/>
        <w:gridCol w:w="690"/>
        <w:gridCol w:w="1670"/>
        <w:gridCol w:w="1048"/>
      </w:tblGrid>
      <w:tr w:rsidR="0070707B" w:rsidRPr="0070707B" w14:paraId="70274F43" w14:textId="77777777" w:rsidTr="0070707B">
        <w:trPr>
          <w:trHeight w:val="20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9FFB7D" w14:textId="77777777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GLS Utility LLC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E01F" w14:textId="77777777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ECE2" w14:textId="5B46BA03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A253" w14:textId="382EA624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0651" w14:textId="51B18133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A44C29" w14:textId="77777777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Regular Call Out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0A889A" w14:textId="501465FF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$ 28.50 </w:t>
            </w:r>
          </w:p>
        </w:tc>
      </w:tr>
      <w:tr w:rsidR="0070707B" w:rsidRPr="0070707B" w14:paraId="048CF795" w14:textId="77777777" w:rsidTr="0070707B">
        <w:trPr>
          <w:trHeight w:val="207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BCF2" w14:textId="77777777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5047" w14:textId="77777777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8EC2" w14:textId="13CA1C39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6F96" w14:textId="0D04E71E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8F6E" w14:textId="6FAA6AFA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5E42CF" w14:textId="77777777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Emergency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35BC7E" w14:textId="77777777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85 / HR </w:t>
            </w:r>
          </w:p>
        </w:tc>
      </w:tr>
      <w:tr w:rsidR="0070707B" w:rsidRPr="0070707B" w14:paraId="17623DA2" w14:textId="77777777" w:rsidTr="0070707B">
        <w:trPr>
          <w:trHeight w:val="207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BF62" w14:textId="77777777" w:rsidR="0070707B" w:rsidRPr="0070707B" w:rsidRDefault="0070707B" w:rsidP="0070707B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EB8B" w14:textId="77777777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FE45" w14:textId="3E191636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A7EA" w14:textId="2C8150B0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5F73" w14:textId="0AA6A92D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039565" w14:textId="3940CC74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Field </w:t>
            </w:r>
            <w:r w:rsidR="00DE25B5"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Clear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871CA1" w14:textId="3FB73B73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  28.50 </w:t>
            </w:r>
          </w:p>
        </w:tc>
      </w:tr>
      <w:tr w:rsidR="0070707B" w:rsidRPr="0070707B" w14:paraId="499EC6AE" w14:textId="77777777" w:rsidTr="0070707B">
        <w:trPr>
          <w:trHeight w:val="207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2DF8" w14:textId="77777777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4CD2" w14:textId="77777777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0A4E" w14:textId="3DDAB3E7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0909" w14:textId="63D17077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68AC" w14:textId="55990C2E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668D7E" w14:textId="77777777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Watch dog service/Hr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4EC9C0" w14:textId="63309643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$ 85.00 </w:t>
            </w:r>
          </w:p>
        </w:tc>
      </w:tr>
      <w:tr w:rsidR="0070707B" w:rsidRPr="0070707B" w14:paraId="58CF4BA6" w14:textId="77777777" w:rsidTr="0070707B">
        <w:trPr>
          <w:trHeight w:val="207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EBAF" w14:textId="77777777" w:rsidR="0070707B" w:rsidRPr="0070707B" w:rsidRDefault="0070707B" w:rsidP="0070707B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76B0" w14:textId="77777777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F6CF" w14:textId="187D0658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37DE" w14:textId="1391F8BB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3A3B" w14:textId="0A25FB41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C991" w14:textId="77777777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9B3C" w14:textId="77777777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</w:tr>
      <w:tr w:rsidR="0070707B" w:rsidRPr="0070707B" w14:paraId="0AE9B5FD" w14:textId="77777777" w:rsidTr="0070707B">
        <w:trPr>
          <w:trHeight w:val="207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0D14" w14:textId="77777777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6FB6" w14:textId="77777777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82D8" w14:textId="4F24F92F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5742" w14:textId="2DD7FD68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610F" w14:textId="1068C9A6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4D5F" w14:textId="77777777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15F2" w14:textId="77777777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</w:tr>
      <w:tr w:rsidR="0070707B" w:rsidRPr="0070707B" w14:paraId="183B2DDE" w14:textId="77777777" w:rsidTr="0070707B">
        <w:trPr>
          <w:trHeight w:val="207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772EB" w14:textId="77777777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6A34" w14:textId="77777777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15A5" w14:textId="1FD2CD01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4317" w14:textId="5F5B1698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B5C7" w14:textId="41C0FD28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266C3" w14:textId="77777777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D2E04" w14:textId="77777777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</w:tr>
      <w:tr w:rsidR="0070707B" w:rsidRPr="0070707B" w14:paraId="544CC642" w14:textId="77777777" w:rsidTr="0070707B">
        <w:trPr>
          <w:trHeight w:val="20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4C08" w14:textId="77777777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Excel Underground LLC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9318" w14:textId="77777777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BE6F" w14:textId="6B033015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8370" w14:textId="4B5AB515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34BC" w14:textId="198CFF9F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C9FE" w14:textId="77777777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Regular Call Out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E9DF" w14:textId="7D771E47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$ 35.00 </w:t>
            </w:r>
          </w:p>
        </w:tc>
      </w:tr>
      <w:tr w:rsidR="0070707B" w:rsidRPr="0070707B" w14:paraId="5CC63BED" w14:textId="77777777" w:rsidTr="0070707B">
        <w:trPr>
          <w:trHeight w:val="207"/>
        </w:trPr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BF4D" w14:textId="77777777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A0F8" w14:textId="77777777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4C8B" w14:textId="01B30995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537A" w14:textId="7DD23F8E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4723" w14:textId="4C22BA6B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DF0F" w14:textId="77777777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Emergency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1805" w14:textId="45E2367B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</w:t>
            </w: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</w:t>
            </w: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50.00 </w:t>
            </w:r>
          </w:p>
        </w:tc>
      </w:tr>
      <w:tr w:rsidR="0070707B" w:rsidRPr="0070707B" w14:paraId="3DD58DB6" w14:textId="77777777" w:rsidTr="0070707B">
        <w:trPr>
          <w:trHeight w:val="207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D135" w14:textId="77777777" w:rsidR="0070707B" w:rsidRPr="0070707B" w:rsidRDefault="0070707B" w:rsidP="0070707B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BD7C" w14:textId="77777777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3915" w14:textId="65A59664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97D8" w14:textId="0E74F384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22AC" w14:textId="6F9172BC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D4DC" w14:textId="67003C43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Field </w:t>
            </w:r>
            <w:r w:rsidR="00DE25B5"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Clear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D47C" w14:textId="1D2E0C94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</w:t>
            </w: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</w:t>
            </w: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20.00 </w:t>
            </w:r>
          </w:p>
        </w:tc>
      </w:tr>
      <w:tr w:rsidR="0070707B" w:rsidRPr="0070707B" w14:paraId="6A0BE8CE" w14:textId="77777777" w:rsidTr="0070707B">
        <w:trPr>
          <w:trHeight w:val="207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51D7" w14:textId="77777777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6CF6" w14:textId="77777777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FAA0" w14:textId="1454E681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9D1F" w14:textId="46E16212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95A9" w14:textId="1AEBA16D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67B5" w14:textId="77777777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Watch dog service/Hr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7980" w14:textId="41F7EC6B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$ 50.00 </w:t>
            </w:r>
          </w:p>
        </w:tc>
      </w:tr>
      <w:tr w:rsidR="0070707B" w:rsidRPr="0070707B" w14:paraId="735C52DF" w14:textId="77777777" w:rsidTr="0070707B">
        <w:trPr>
          <w:trHeight w:val="207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7324A" w14:textId="77777777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13445" w14:textId="77777777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F30C8" w14:textId="77777777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F29D7" w14:textId="77777777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1E5C" w14:textId="77777777" w:rsidR="0070707B" w:rsidRPr="0070707B" w:rsidRDefault="007070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A6FA3" w14:textId="77777777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8D3E" w14:textId="77777777" w:rsidR="0070707B" w:rsidRPr="0070707B" w:rsidRDefault="007070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</w:tbl>
    <w:tbl>
      <w:tblPr>
        <w:tblW w:w="9350" w:type="dxa"/>
        <w:tblLook w:val="04A0" w:firstRow="1" w:lastRow="0" w:firstColumn="1" w:lastColumn="0" w:noHBand="0" w:noVBand="1"/>
      </w:tblPr>
      <w:tblGrid>
        <w:gridCol w:w="2808"/>
        <w:gridCol w:w="2419"/>
        <w:gridCol w:w="2653"/>
        <w:gridCol w:w="1470"/>
      </w:tblGrid>
      <w:tr w:rsidR="00AE767B" w:rsidRPr="0070707B" w14:paraId="2AEC13D2" w14:textId="3C6D5804" w:rsidTr="00AE767B">
        <w:trPr>
          <w:trHeight w:val="28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624F62" w14:textId="77777777" w:rsidR="00AE767B" w:rsidRPr="0070707B" w:rsidRDefault="00AE767B" w:rsidP="0070707B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Yr. 1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8C4115" w14:textId="77777777" w:rsidR="00AE767B" w:rsidRPr="0070707B" w:rsidRDefault="00AE767B" w:rsidP="0070707B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Yr. 2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A9C4B5" w14:textId="77777777" w:rsidR="00AE767B" w:rsidRPr="0070707B" w:rsidRDefault="00AE767B" w:rsidP="0070707B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Yr. 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9D6581C" w14:textId="6C3B213F" w:rsidR="00AE767B" w:rsidRPr="0070707B" w:rsidRDefault="00AE767B" w:rsidP="0070707B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GLS UTILITY LLC</w:t>
            </w:r>
          </w:p>
        </w:tc>
      </w:tr>
      <w:tr w:rsidR="00AE767B" w:rsidRPr="0070707B" w14:paraId="085C48DC" w14:textId="3EFF0F07" w:rsidTr="00AE767B">
        <w:trPr>
          <w:trHeight w:val="288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1E61" w14:textId="77777777" w:rsidR="00AE767B" w:rsidRPr="0070707B" w:rsidRDefault="00AE767B" w:rsidP="0070707B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158/Month Avg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46D5" w14:textId="77777777" w:rsidR="00AE767B" w:rsidRPr="0070707B" w:rsidRDefault="00AE767B" w:rsidP="0070707B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174/Month Avg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19D0" w14:textId="77777777" w:rsidR="00AE767B" w:rsidRPr="0070707B" w:rsidRDefault="00AE767B" w:rsidP="0070707B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174/Month Avg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045C0" w14:textId="77777777" w:rsidR="00AE767B" w:rsidRPr="0070707B" w:rsidRDefault="00AE767B" w:rsidP="0070707B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AE767B" w:rsidRPr="0070707B" w14:paraId="3B5B36C5" w14:textId="71B0B827" w:rsidTr="00AE767B">
        <w:trPr>
          <w:trHeight w:val="288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E2FB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                4,218.00 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A6D4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           4,706.40 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DF37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              4,889.25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5B578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AE767B" w:rsidRPr="0070707B" w14:paraId="59197EDA" w14:textId="415F7577" w:rsidTr="00AE767B">
        <w:trPr>
          <w:trHeight w:val="288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EBB9" w14:textId="2C419332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                       </w:t>
            </w: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425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EEF8" w14:textId="77777777" w:rsidR="00AE767B" w:rsidRPr="0070707B" w:rsidRDefault="00AE767B" w:rsidP="0070707B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882.5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AD55" w14:textId="77777777" w:rsidR="00AE767B" w:rsidRPr="0070707B" w:rsidRDefault="00AE767B" w:rsidP="0070707B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918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A2AE7" w14:textId="77777777" w:rsidR="00AE767B" w:rsidRPr="0070707B" w:rsidRDefault="00AE767B" w:rsidP="0070707B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AE767B" w:rsidRPr="0070707B" w14:paraId="6B41CCA7" w14:textId="1ABC9D23" w:rsidTr="00AE767B">
        <w:trPr>
          <w:trHeight w:val="288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5D78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                    142.50 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8A22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               148.00 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DD0B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                  153.75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50A8D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AE767B" w:rsidRPr="0070707B" w14:paraId="7EE8B11D" w14:textId="7DD29DF5" w:rsidTr="00AE767B">
        <w:trPr>
          <w:trHeight w:val="288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24D1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5366" w14:textId="77777777" w:rsidR="00AE767B" w:rsidRPr="0070707B" w:rsidRDefault="00AE76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31FF" w14:textId="77777777" w:rsidR="00AE767B" w:rsidRPr="0070707B" w:rsidRDefault="00AE76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402BEEF" w14:textId="77777777" w:rsidR="00AE767B" w:rsidRPr="0070707B" w:rsidRDefault="00AE767B" w:rsidP="0070707B">
            <w:pPr>
              <w:widowControl/>
              <w:rPr>
                <w:snapToGrid/>
                <w:sz w:val="20"/>
              </w:rPr>
            </w:pPr>
          </w:p>
        </w:tc>
      </w:tr>
      <w:tr w:rsidR="00AE767B" w:rsidRPr="0070707B" w14:paraId="5267FEA2" w14:textId="4863A546" w:rsidTr="00AE767B">
        <w:trPr>
          <w:trHeight w:val="28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DFAF8E" w14:textId="7535DC4E" w:rsidR="00AE767B" w:rsidRPr="0070707B" w:rsidRDefault="00AE767B" w:rsidP="0070707B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 xml:space="preserve"> $                4,860.50 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5EA48B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 xml:space="preserve"> $           5,814.90 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DB26AF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 xml:space="preserve"> $              6,042.00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1C84F17" w14:textId="6767D761" w:rsidR="00AE767B" w:rsidRPr="0070707B" w:rsidRDefault="00AE767B" w:rsidP="0070707B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Monthly Cost</w:t>
            </w:r>
          </w:p>
        </w:tc>
      </w:tr>
      <w:tr w:rsidR="00AE767B" w:rsidRPr="0070707B" w14:paraId="1E1FF618" w14:textId="6C8EE4F8" w:rsidTr="00AE767B">
        <w:trPr>
          <w:trHeight w:val="288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A07EBD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 xml:space="preserve"> $              58,326.00 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2B1C75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 xml:space="preserve"> $         69,778.80 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EFA1D3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 xml:space="preserve"> $            72,504.00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0F2E01A" w14:textId="06FACCAD" w:rsidR="00AE767B" w:rsidRPr="0070707B" w:rsidRDefault="00AE767B" w:rsidP="0070707B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Annual Cost</w:t>
            </w:r>
          </w:p>
        </w:tc>
      </w:tr>
      <w:tr w:rsidR="00AE767B" w:rsidRPr="0070707B" w14:paraId="07F82785" w14:textId="408C0F66" w:rsidTr="00AE767B">
        <w:trPr>
          <w:trHeight w:val="288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B369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A1EE" w14:textId="77777777" w:rsidR="00AE767B" w:rsidRPr="0070707B" w:rsidRDefault="00AE76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F8AF" w14:textId="77777777" w:rsidR="00AE767B" w:rsidRPr="0070707B" w:rsidRDefault="00AE76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837A09B" w14:textId="77777777" w:rsidR="00AE767B" w:rsidRPr="0070707B" w:rsidRDefault="00AE767B" w:rsidP="0070707B">
            <w:pPr>
              <w:widowControl/>
              <w:rPr>
                <w:snapToGrid/>
                <w:sz w:val="20"/>
              </w:rPr>
            </w:pPr>
          </w:p>
        </w:tc>
      </w:tr>
      <w:tr w:rsidR="00AE767B" w:rsidRPr="0070707B" w14:paraId="34FBA70D" w14:textId="6919515E" w:rsidTr="00AE767B">
        <w:trPr>
          <w:trHeight w:val="28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D9E7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                5,180.00 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62C9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           5,731.95 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9A20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              5,900.49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3750B" w14:textId="6F52CED9" w:rsidR="00AE767B" w:rsidRPr="002D3490" w:rsidRDefault="00AE767B" w:rsidP="0070707B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2D3490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EXCEL Underground LLC</w:t>
            </w:r>
          </w:p>
        </w:tc>
      </w:tr>
      <w:tr w:rsidR="00AE767B" w:rsidRPr="0070707B" w14:paraId="540724CE" w14:textId="1BBDDE12" w:rsidTr="00AE767B">
        <w:trPr>
          <w:trHeight w:val="288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6714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                    250.00 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3D70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               515.00 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BCFD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                  515.00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D1F6B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AE767B" w:rsidRPr="0070707B" w14:paraId="2FFAD123" w14:textId="52AB45A1" w:rsidTr="00AE767B">
        <w:trPr>
          <w:trHeight w:val="288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C615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                    100.00 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E5E7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               105.00 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9355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                  105.00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B11B3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AE767B" w:rsidRPr="0070707B" w14:paraId="337DE95E" w14:textId="4B02BC32" w:rsidTr="00AE767B">
        <w:trPr>
          <w:trHeight w:val="288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FA77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7D65" w14:textId="77777777" w:rsidR="00AE767B" w:rsidRPr="0070707B" w:rsidRDefault="00AE76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878C" w14:textId="77777777" w:rsidR="00AE767B" w:rsidRPr="0070707B" w:rsidRDefault="00AE767B" w:rsidP="0070707B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42FA9E89" w14:textId="77777777" w:rsidR="00AE767B" w:rsidRPr="0070707B" w:rsidRDefault="00AE767B" w:rsidP="0070707B">
            <w:pPr>
              <w:widowControl/>
              <w:rPr>
                <w:snapToGrid/>
                <w:sz w:val="20"/>
              </w:rPr>
            </w:pPr>
          </w:p>
        </w:tc>
      </w:tr>
      <w:tr w:rsidR="00AE767B" w:rsidRPr="0070707B" w14:paraId="3E0586F0" w14:textId="23A0B57A" w:rsidTr="00AE767B">
        <w:trPr>
          <w:trHeight w:val="3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7705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                5,530.00 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B350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           6,351.95 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DC42" w14:textId="77777777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70707B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$              6,520.49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EDCA3" w14:textId="0BF1879F" w:rsidR="00AE767B" w:rsidRPr="0070707B" w:rsidRDefault="00AE767B" w:rsidP="007070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Monthly Cost</w:t>
            </w:r>
          </w:p>
        </w:tc>
      </w:tr>
      <w:tr w:rsidR="00AE767B" w:rsidRPr="0070707B" w14:paraId="53C863E7" w14:textId="77777777" w:rsidTr="00AE767B">
        <w:trPr>
          <w:trHeight w:val="3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0939" w14:textId="7897E778" w:rsidR="00AE767B" w:rsidRPr="0070707B" w:rsidRDefault="00AE767B" w:rsidP="00AE76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  66,360.00 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7D69" w14:textId="7697ECCA" w:rsidR="00AE767B" w:rsidRPr="0070707B" w:rsidRDefault="00AE767B" w:rsidP="00AE76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76,223.40 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1DB5" w14:textId="3D63E783" w:rsidR="00AE767B" w:rsidRPr="0070707B" w:rsidRDefault="00AE767B" w:rsidP="00AE767B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78,245.88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76633" w14:textId="7465070E" w:rsidR="00AE767B" w:rsidRDefault="00AE767B" w:rsidP="00AE767B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Annual Cost</w:t>
            </w:r>
          </w:p>
        </w:tc>
      </w:tr>
    </w:tbl>
    <w:p w14:paraId="088715F8" w14:textId="77777777" w:rsidR="0070707B" w:rsidRPr="00850446" w:rsidRDefault="0070707B" w:rsidP="000B03FA">
      <w:pPr>
        <w:rPr>
          <w:sz w:val="22"/>
          <w:szCs w:val="22"/>
        </w:rPr>
      </w:pPr>
    </w:p>
    <w:sectPr w:rsidR="0070707B" w:rsidRPr="00850446">
      <w:footerReference w:type="default" r:id="rId9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D07164" w:rsidRDefault="00D07164">
      <w:r>
        <w:separator/>
      </w:r>
    </w:p>
  </w:endnote>
  <w:endnote w:type="continuationSeparator" w:id="0">
    <w:p w14:paraId="35AC299A" w14:textId="77777777" w:rsidR="00D07164" w:rsidRDefault="00D0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D07164" w:rsidRDefault="00D0716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D07164" w:rsidRDefault="00D071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D07164" w:rsidRDefault="00D0716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D07164" w:rsidRDefault="00D071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D07164" w:rsidRDefault="00D07164">
      <w:r>
        <w:separator/>
      </w:r>
    </w:p>
  </w:footnote>
  <w:footnote w:type="continuationSeparator" w:id="0">
    <w:p w14:paraId="55823C7B" w14:textId="77777777" w:rsidR="00D07164" w:rsidRDefault="00D0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23497"/>
    <w:rsid w:val="000335FD"/>
    <w:rsid w:val="000360CE"/>
    <w:rsid w:val="00041A68"/>
    <w:rsid w:val="000469AC"/>
    <w:rsid w:val="00083BE4"/>
    <w:rsid w:val="00094EA5"/>
    <w:rsid w:val="000B03FA"/>
    <w:rsid w:val="000B7AEE"/>
    <w:rsid w:val="000C0F4E"/>
    <w:rsid w:val="000D4A80"/>
    <w:rsid w:val="000F5C3D"/>
    <w:rsid w:val="00100745"/>
    <w:rsid w:val="00125368"/>
    <w:rsid w:val="001267D1"/>
    <w:rsid w:val="00183131"/>
    <w:rsid w:val="00191AC8"/>
    <w:rsid w:val="00195AA0"/>
    <w:rsid w:val="001A41A2"/>
    <w:rsid w:val="001A7E42"/>
    <w:rsid w:val="001B1C47"/>
    <w:rsid w:val="001C5546"/>
    <w:rsid w:val="002047F8"/>
    <w:rsid w:val="0023256C"/>
    <w:rsid w:val="0029447D"/>
    <w:rsid w:val="002960BF"/>
    <w:rsid w:val="002A77C6"/>
    <w:rsid w:val="002B029F"/>
    <w:rsid w:val="002C0FA9"/>
    <w:rsid w:val="002C43FC"/>
    <w:rsid w:val="002D3490"/>
    <w:rsid w:val="0030767C"/>
    <w:rsid w:val="0032319A"/>
    <w:rsid w:val="00323930"/>
    <w:rsid w:val="00356CD1"/>
    <w:rsid w:val="0036616C"/>
    <w:rsid w:val="00376D9D"/>
    <w:rsid w:val="003B7DD9"/>
    <w:rsid w:val="003E065C"/>
    <w:rsid w:val="003E0770"/>
    <w:rsid w:val="003E76C4"/>
    <w:rsid w:val="003F4B5D"/>
    <w:rsid w:val="004009D5"/>
    <w:rsid w:val="0040312A"/>
    <w:rsid w:val="00414D08"/>
    <w:rsid w:val="00417AC6"/>
    <w:rsid w:val="004250EE"/>
    <w:rsid w:val="00427E76"/>
    <w:rsid w:val="0044340E"/>
    <w:rsid w:val="00471E39"/>
    <w:rsid w:val="00490BB1"/>
    <w:rsid w:val="00491F30"/>
    <w:rsid w:val="004977A5"/>
    <w:rsid w:val="004D4D23"/>
    <w:rsid w:val="0054090B"/>
    <w:rsid w:val="00552D19"/>
    <w:rsid w:val="0056579B"/>
    <w:rsid w:val="005969F9"/>
    <w:rsid w:val="005A0F5F"/>
    <w:rsid w:val="005C5158"/>
    <w:rsid w:val="005C661D"/>
    <w:rsid w:val="005C7F85"/>
    <w:rsid w:val="005D4983"/>
    <w:rsid w:val="005D72F6"/>
    <w:rsid w:val="005D76E1"/>
    <w:rsid w:val="006153C0"/>
    <w:rsid w:val="00620B32"/>
    <w:rsid w:val="00680DF0"/>
    <w:rsid w:val="00682BF6"/>
    <w:rsid w:val="00693733"/>
    <w:rsid w:val="00694476"/>
    <w:rsid w:val="006A0198"/>
    <w:rsid w:val="006A200B"/>
    <w:rsid w:val="006A6398"/>
    <w:rsid w:val="006C74FF"/>
    <w:rsid w:val="006D70EF"/>
    <w:rsid w:val="006D7B40"/>
    <w:rsid w:val="006E4C05"/>
    <w:rsid w:val="006F0B4B"/>
    <w:rsid w:val="006F335C"/>
    <w:rsid w:val="0070707B"/>
    <w:rsid w:val="00721697"/>
    <w:rsid w:val="00722AFF"/>
    <w:rsid w:val="00737B29"/>
    <w:rsid w:val="00743818"/>
    <w:rsid w:val="00793B61"/>
    <w:rsid w:val="007E2E7C"/>
    <w:rsid w:val="007E5DBA"/>
    <w:rsid w:val="00801F11"/>
    <w:rsid w:val="00821589"/>
    <w:rsid w:val="00850446"/>
    <w:rsid w:val="008572EE"/>
    <w:rsid w:val="00874FC1"/>
    <w:rsid w:val="008843B5"/>
    <w:rsid w:val="0089786D"/>
    <w:rsid w:val="008B64F3"/>
    <w:rsid w:val="008E19F0"/>
    <w:rsid w:val="008E3731"/>
    <w:rsid w:val="00901CC6"/>
    <w:rsid w:val="00963023"/>
    <w:rsid w:val="00966C9A"/>
    <w:rsid w:val="00985A10"/>
    <w:rsid w:val="009B220E"/>
    <w:rsid w:val="009C718B"/>
    <w:rsid w:val="00A02924"/>
    <w:rsid w:val="00A03A3D"/>
    <w:rsid w:val="00A13B76"/>
    <w:rsid w:val="00A22D1C"/>
    <w:rsid w:val="00A52F6C"/>
    <w:rsid w:val="00A73832"/>
    <w:rsid w:val="00A842C9"/>
    <w:rsid w:val="00A93EDB"/>
    <w:rsid w:val="00AB18F3"/>
    <w:rsid w:val="00AC3A09"/>
    <w:rsid w:val="00AE2F5C"/>
    <w:rsid w:val="00AE767B"/>
    <w:rsid w:val="00AF192E"/>
    <w:rsid w:val="00AF7B34"/>
    <w:rsid w:val="00B0140A"/>
    <w:rsid w:val="00B14659"/>
    <w:rsid w:val="00B20840"/>
    <w:rsid w:val="00B23FFC"/>
    <w:rsid w:val="00B37A0B"/>
    <w:rsid w:val="00B41E9E"/>
    <w:rsid w:val="00B62134"/>
    <w:rsid w:val="00B73BE6"/>
    <w:rsid w:val="00B93947"/>
    <w:rsid w:val="00BB5B44"/>
    <w:rsid w:val="00BC55B4"/>
    <w:rsid w:val="00BD2C7C"/>
    <w:rsid w:val="00BD44F1"/>
    <w:rsid w:val="00BF246C"/>
    <w:rsid w:val="00C03D0A"/>
    <w:rsid w:val="00C120EA"/>
    <w:rsid w:val="00C275C3"/>
    <w:rsid w:val="00C42B47"/>
    <w:rsid w:val="00C6154E"/>
    <w:rsid w:val="00C745E1"/>
    <w:rsid w:val="00C76ADC"/>
    <w:rsid w:val="00C94BC8"/>
    <w:rsid w:val="00CB55B6"/>
    <w:rsid w:val="00CC0970"/>
    <w:rsid w:val="00CD0095"/>
    <w:rsid w:val="00CD62B0"/>
    <w:rsid w:val="00CE5503"/>
    <w:rsid w:val="00D07164"/>
    <w:rsid w:val="00D25922"/>
    <w:rsid w:val="00D31814"/>
    <w:rsid w:val="00D72020"/>
    <w:rsid w:val="00D729C4"/>
    <w:rsid w:val="00D77EF0"/>
    <w:rsid w:val="00D85D7D"/>
    <w:rsid w:val="00D875A0"/>
    <w:rsid w:val="00D94708"/>
    <w:rsid w:val="00D97B14"/>
    <w:rsid w:val="00DA218F"/>
    <w:rsid w:val="00DA5665"/>
    <w:rsid w:val="00DE25B5"/>
    <w:rsid w:val="00DE744A"/>
    <w:rsid w:val="00DF3771"/>
    <w:rsid w:val="00DF5810"/>
    <w:rsid w:val="00E00824"/>
    <w:rsid w:val="00E0225C"/>
    <w:rsid w:val="00E14AE5"/>
    <w:rsid w:val="00E23E28"/>
    <w:rsid w:val="00E510F8"/>
    <w:rsid w:val="00E56177"/>
    <w:rsid w:val="00E63BA1"/>
    <w:rsid w:val="00E8001C"/>
    <w:rsid w:val="00E85EEF"/>
    <w:rsid w:val="00E872B7"/>
    <w:rsid w:val="00EC66DA"/>
    <w:rsid w:val="00ED45B1"/>
    <w:rsid w:val="00ED770D"/>
    <w:rsid w:val="00EE5F93"/>
    <w:rsid w:val="00EF423E"/>
    <w:rsid w:val="00EF52FC"/>
    <w:rsid w:val="00EF760F"/>
    <w:rsid w:val="00F20D1C"/>
    <w:rsid w:val="00F23309"/>
    <w:rsid w:val="00F316FA"/>
    <w:rsid w:val="00F609CC"/>
    <w:rsid w:val="00F84D7A"/>
    <w:rsid w:val="00F85010"/>
    <w:rsid w:val="00FA1D0C"/>
    <w:rsid w:val="00FA4668"/>
    <w:rsid w:val="00FA6454"/>
    <w:rsid w:val="00FB38C7"/>
    <w:rsid w:val="00FD79AB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table" w:styleId="TableGrid">
    <w:name w:val="Table Grid"/>
    <w:basedOn w:val="TableNormal"/>
    <w:rsid w:val="0047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uiPriority w:val="99"/>
    <w:rsid w:val="00A02924"/>
    <w:pPr>
      <w:widowControl/>
      <w:overflowPunct w:val="0"/>
      <w:autoSpaceDE w:val="0"/>
      <w:autoSpaceDN w:val="0"/>
      <w:adjustRightInd w:val="0"/>
      <w:textAlignment w:val="baseline"/>
    </w:pPr>
    <w:rPr>
      <w:snapToGrid/>
      <w:color w:val="000000"/>
      <w:sz w:val="24"/>
    </w:rPr>
  </w:style>
  <w:style w:type="character" w:customStyle="1" w:styleId="InitialStyle">
    <w:name w:val="InitialStyle"/>
    <w:rsid w:val="00A02924"/>
    <w:rPr>
      <w:rFonts w:ascii="Courier New" w:hAnsi="Courier New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0812-A524-4B71-B3EA-F19EF987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2</Pages>
  <Words>494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Ian Crammond</cp:lastModifiedBy>
  <cp:revision>13</cp:revision>
  <cp:lastPrinted>2022-05-31T13:49:00Z</cp:lastPrinted>
  <dcterms:created xsi:type="dcterms:W3CDTF">2022-05-31T12:55:00Z</dcterms:created>
  <dcterms:modified xsi:type="dcterms:W3CDTF">2022-06-02T16:35:00Z</dcterms:modified>
  <cp:contentStatus/>
</cp:coreProperties>
</file>