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A9" w:rsidRPr="009763AE" w:rsidRDefault="00FE1C65" w:rsidP="004E16A9">
      <w:pPr>
        <w:pStyle w:val="DefaultText"/>
        <w:jc w:val="center"/>
        <w:rPr>
          <w:b/>
          <w:szCs w:val="28"/>
        </w:rPr>
      </w:pPr>
      <w:r w:rsidRPr="001A11B7">
        <w:rPr>
          <w:b/>
          <w:szCs w:val="28"/>
        </w:rPr>
        <w:t>RESOLUTION</w:t>
      </w:r>
      <w:r w:rsidR="009775D9" w:rsidRPr="001A11B7">
        <w:rPr>
          <w:b/>
          <w:szCs w:val="28"/>
        </w:rPr>
        <w:t xml:space="preserve">_________- </w:t>
      </w:r>
      <w:r w:rsidR="005A41BC" w:rsidRPr="001A11B7">
        <w:rPr>
          <w:b/>
          <w:szCs w:val="28"/>
        </w:rPr>
        <w:t>20</w:t>
      </w:r>
      <w:r w:rsidR="004E16A9">
        <w:rPr>
          <w:b/>
          <w:szCs w:val="28"/>
        </w:rPr>
        <w:t>21</w:t>
      </w:r>
    </w:p>
    <w:p w:rsidR="00123B52" w:rsidRDefault="00123B52" w:rsidP="00123B52">
      <w:pPr>
        <w:pStyle w:val="DefaultText"/>
        <w:jc w:val="center"/>
        <w:rPr>
          <w:b/>
        </w:rPr>
      </w:pPr>
    </w:p>
    <w:p w:rsidR="00123B52" w:rsidRDefault="00123B52" w:rsidP="00123B52">
      <w:pPr>
        <w:pStyle w:val="DefaultText"/>
        <w:jc w:val="center"/>
        <w:rPr>
          <w:b/>
        </w:rPr>
      </w:pPr>
      <w:r>
        <w:rPr>
          <w:b/>
        </w:rPr>
        <w:t>Au</w:t>
      </w:r>
      <w:r w:rsidR="004E16A9">
        <w:rPr>
          <w:b/>
        </w:rPr>
        <w:t>thorizing Amendments to the 2020</w:t>
      </w:r>
      <w:r>
        <w:rPr>
          <w:b/>
        </w:rPr>
        <w:t xml:space="preserve"> Budget</w:t>
      </w:r>
    </w:p>
    <w:p w:rsidR="00483E57" w:rsidRDefault="00483E57">
      <w:pPr>
        <w:pStyle w:val="Default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3C0697" w:rsidTr="003C0697">
        <w:tc>
          <w:tcPr>
            <w:tcW w:w="9926" w:type="dxa"/>
            <w:vAlign w:val="center"/>
          </w:tcPr>
          <w:p w:rsidR="003C0697" w:rsidRPr="00662409" w:rsidRDefault="003C0697" w:rsidP="003C0697">
            <w:pPr>
              <w:overflowPunct/>
              <w:textAlignment w:val="auto"/>
              <w:rPr>
                <w:b/>
                <w:i/>
                <w:sz w:val="16"/>
                <w:szCs w:val="22"/>
              </w:rPr>
            </w:pPr>
          </w:p>
          <w:p w:rsidR="003C0697" w:rsidRDefault="003C0697" w:rsidP="003C0697">
            <w:pPr>
              <w:overflowPunct/>
              <w:textAlignment w:val="auto"/>
              <w:rPr>
                <w:sz w:val="22"/>
              </w:rPr>
            </w:pPr>
            <w:r w:rsidRPr="00123B52">
              <w:rPr>
                <w:b/>
                <w:i/>
                <w:sz w:val="22"/>
                <w:szCs w:val="22"/>
              </w:rPr>
              <w:t>Background:</w:t>
            </w:r>
            <w:r w:rsidR="00DC42D5" w:rsidRPr="00123B52">
              <w:rPr>
                <w:b/>
                <w:i/>
                <w:sz w:val="22"/>
                <w:szCs w:val="22"/>
              </w:rPr>
              <w:t xml:space="preserve"> </w:t>
            </w:r>
            <w:r w:rsidR="00FD5DA9">
              <w:rPr>
                <w:b/>
                <w:i/>
                <w:sz w:val="22"/>
                <w:szCs w:val="22"/>
              </w:rPr>
              <w:t xml:space="preserve"> </w:t>
            </w:r>
            <w:r w:rsidR="00123B52" w:rsidRPr="00123B52">
              <w:rPr>
                <w:sz w:val="22"/>
                <w:szCs w:val="22"/>
              </w:rPr>
              <w:t>Throughout the year, various additional funds become available that require no additional County matching f</w:t>
            </w:r>
            <w:r w:rsidR="00123B52">
              <w:rPr>
                <w:sz w:val="22"/>
              </w:rPr>
              <w:t xml:space="preserve">unds or are expansions of existing grant funding and programs.  Also throughout the year, additional expenditures are incurred for which funding is available.  </w:t>
            </w:r>
            <w:r w:rsidR="00367495">
              <w:rPr>
                <w:sz w:val="22"/>
              </w:rPr>
              <w:t>At the completion of each year’s annual financial audit after all transactions have been recorded, a final resolution is brought forward to present a summary of departments and/or funds that exceeded their annual appropriations</w:t>
            </w:r>
            <w:r w:rsidR="00FD5DA9">
              <w:rPr>
                <w:sz w:val="22"/>
              </w:rPr>
              <w:t>.  This resolution authorizes amendments to the budget for those departments and/or funds that had offsetting revenues or fund balances, as well as for departments without offsetting funding and in need of a transfer from the contingency fund.</w:t>
            </w:r>
          </w:p>
          <w:p w:rsidR="00BE242C" w:rsidRDefault="00BE242C" w:rsidP="003C0697">
            <w:pPr>
              <w:overflowPunct/>
              <w:textAlignment w:val="auto"/>
              <w:rPr>
                <w:sz w:val="22"/>
              </w:rPr>
            </w:pPr>
          </w:p>
          <w:p w:rsidR="00BE242C" w:rsidRPr="00C07F2E" w:rsidRDefault="00BE242C" w:rsidP="003C0697">
            <w:pPr>
              <w:overflowPunct/>
              <w:textAlignment w:val="auto"/>
              <w:rPr>
                <w:bCs/>
                <w:sz w:val="22"/>
                <w:szCs w:val="24"/>
              </w:rPr>
            </w:pPr>
            <w:r>
              <w:rPr>
                <w:sz w:val="22"/>
              </w:rPr>
              <w:t>The 2020 contingency fund was originally budgeted at $350,000</w:t>
            </w:r>
            <w:r w:rsidR="003A7979">
              <w:rPr>
                <w:sz w:val="22"/>
              </w:rPr>
              <w:t>,</w:t>
            </w:r>
            <w:r>
              <w:rPr>
                <w:sz w:val="22"/>
              </w:rPr>
              <w:t xml:space="preserve"> funded completely by General Fund balance.  During 2020, $155,000 </w:t>
            </w:r>
            <w:proofErr w:type="gramStart"/>
            <w:r>
              <w:rPr>
                <w:sz w:val="22"/>
              </w:rPr>
              <w:t>was already transferred</w:t>
            </w:r>
            <w:proofErr w:type="gramEnd"/>
            <w:r>
              <w:rPr>
                <w:sz w:val="22"/>
              </w:rPr>
              <w:t xml:space="preserve"> </w:t>
            </w:r>
            <w:r w:rsidR="003A7979">
              <w:rPr>
                <w:sz w:val="22"/>
              </w:rPr>
              <w:t>from</w:t>
            </w:r>
            <w:r>
              <w:rPr>
                <w:sz w:val="22"/>
              </w:rPr>
              <w:t xml:space="preserve"> the contingency fund, leaving $195,000 available for overdrawn departments.  In order to accommodate the amount needed as of 12-31-2020</w:t>
            </w:r>
            <w:r w:rsidR="003A7979">
              <w:rPr>
                <w:sz w:val="22"/>
              </w:rPr>
              <w:t xml:space="preserve"> of $232,063</w:t>
            </w:r>
            <w:r>
              <w:rPr>
                <w:sz w:val="22"/>
              </w:rPr>
              <w:t xml:space="preserve">, and additional $37,063 </w:t>
            </w:r>
            <w:proofErr w:type="gramStart"/>
            <w:r>
              <w:rPr>
                <w:sz w:val="22"/>
              </w:rPr>
              <w:t>is required to be allocated</w:t>
            </w:r>
            <w:proofErr w:type="gramEnd"/>
            <w:r>
              <w:rPr>
                <w:sz w:val="22"/>
              </w:rPr>
              <w:t xml:space="preserve"> from General Fund balance.</w:t>
            </w:r>
          </w:p>
          <w:p w:rsidR="003C0697" w:rsidRPr="00662409" w:rsidRDefault="003C0697" w:rsidP="003C0697">
            <w:pPr>
              <w:overflowPunct/>
              <w:textAlignment w:val="auto"/>
              <w:rPr>
                <w:rFonts w:eastAsia="Calibri"/>
                <w:i/>
                <w:sz w:val="16"/>
                <w:szCs w:val="24"/>
              </w:rPr>
            </w:pPr>
          </w:p>
        </w:tc>
      </w:tr>
      <w:tr w:rsidR="003C0697" w:rsidTr="003C0697">
        <w:tc>
          <w:tcPr>
            <w:tcW w:w="9926" w:type="dxa"/>
            <w:vAlign w:val="center"/>
          </w:tcPr>
          <w:p w:rsidR="003C0697" w:rsidRPr="003C0697" w:rsidRDefault="003C0697" w:rsidP="008A4E08">
            <w:pPr>
              <w:rPr>
                <w:b/>
                <w:i/>
                <w:sz w:val="22"/>
                <w:szCs w:val="22"/>
              </w:rPr>
            </w:pPr>
            <w:r w:rsidRPr="005809CA">
              <w:rPr>
                <w:b/>
                <w:i/>
                <w:sz w:val="22"/>
                <w:szCs w:val="22"/>
              </w:rPr>
              <w:t xml:space="preserve">Fiscal Impact: </w:t>
            </w:r>
            <w:r w:rsidRPr="003C0697">
              <w:rPr>
                <w:i/>
                <w:sz w:val="22"/>
                <w:szCs w:val="22"/>
              </w:rPr>
              <w:t>[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C0697">
              <w:rPr>
                <w:i/>
                <w:sz w:val="22"/>
                <w:szCs w:val="22"/>
              </w:rPr>
              <w:t>] None</w:t>
            </w:r>
            <w:r>
              <w:rPr>
                <w:i/>
                <w:sz w:val="22"/>
                <w:szCs w:val="22"/>
              </w:rPr>
              <w:t xml:space="preserve">  </w:t>
            </w:r>
            <w:r w:rsidR="008A4E08">
              <w:rPr>
                <w:i/>
                <w:sz w:val="22"/>
                <w:szCs w:val="22"/>
              </w:rPr>
              <w:t xml:space="preserve"> [ </w:t>
            </w:r>
            <w:r w:rsidRPr="003C0697">
              <w:rPr>
                <w:i/>
                <w:sz w:val="22"/>
                <w:szCs w:val="22"/>
              </w:rPr>
              <w:t xml:space="preserve">] Budgeted 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3C0697">
              <w:rPr>
                <w:i/>
                <w:sz w:val="22"/>
                <w:szCs w:val="22"/>
              </w:rPr>
              <w:t xml:space="preserve"> [</w:t>
            </w:r>
            <w:r w:rsidR="008A4E08">
              <w:rPr>
                <w:i/>
                <w:sz w:val="22"/>
                <w:szCs w:val="22"/>
              </w:rPr>
              <w:t>x</w:t>
            </w:r>
            <w:r w:rsidRPr="003C0697">
              <w:rPr>
                <w:i/>
                <w:sz w:val="22"/>
                <w:szCs w:val="22"/>
              </w:rPr>
              <w:t>] Not Budgeted</w:t>
            </w:r>
            <w:r w:rsidRPr="005809CA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:rsidR="00483E57" w:rsidRDefault="00483E57">
      <w:pPr>
        <w:pStyle w:val="DefaultText"/>
      </w:pPr>
    </w:p>
    <w:p w:rsidR="003A7979" w:rsidRDefault="003A7979" w:rsidP="003A7979">
      <w:pPr>
        <w:pStyle w:val="DefaultText"/>
        <w:ind w:firstLine="720"/>
        <w:jc w:val="both"/>
        <w:rPr>
          <w:sz w:val="22"/>
        </w:rPr>
      </w:pPr>
      <w:r>
        <w:rPr>
          <w:b/>
          <w:sz w:val="22"/>
        </w:rPr>
        <w:t>WHEREAS</w:t>
      </w:r>
      <w:r>
        <w:rPr>
          <w:sz w:val="22"/>
        </w:rPr>
        <w:t xml:space="preserve">, </w:t>
      </w:r>
      <w:r w:rsidRPr="00370303">
        <w:rPr>
          <w:sz w:val="22"/>
        </w:rPr>
        <w:t>t</w:t>
      </w:r>
      <w:r>
        <w:rPr>
          <w:sz w:val="22"/>
        </w:rPr>
        <w:t xml:space="preserve">he following General Fund departments’ net budgets, expenses less revenues received, </w:t>
      </w:r>
      <w:proofErr w:type="gramStart"/>
      <w:r>
        <w:rPr>
          <w:sz w:val="22"/>
        </w:rPr>
        <w:t>were exceeded</w:t>
      </w:r>
      <w:proofErr w:type="gramEnd"/>
      <w:r>
        <w:rPr>
          <w:sz w:val="22"/>
        </w:rPr>
        <w:t xml:space="preserve"> in 2020 as follows:</w:t>
      </w:r>
    </w:p>
    <w:p w:rsidR="003A7979" w:rsidRPr="0067694C" w:rsidRDefault="003A7979" w:rsidP="003A7979">
      <w:pPr>
        <w:pStyle w:val="DefaultText"/>
        <w:jc w:val="both"/>
        <w:rPr>
          <w:sz w:val="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578"/>
        <w:gridCol w:w="1914"/>
        <w:gridCol w:w="1620"/>
        <w:gridCol w:w="1620"/>
        <w:gridCol w:w="3096"/>
      </w:tblGrid>
      <w:tr w:rsidR="003A7979" w:rsidTr="003F758F">
        <w:tc>
          <w:tcPr>
            <w:tcW w:w="0" w:type="auto"/>
            <w:gridSpan w:val="5"/>
          </w:tcPr>
          <w:p w:rsidR="003A7979" w:rsidRDefault="003A7979" w:rsidP="003F758F">
            <w:pPr>
              <w:pStyle w:val="TableText"/>
              <w:jc w:val="center"/>
              <w:rPr>
                <w:sz w:val="20"/>
              </w:rPr>
            </w:pPr>
            <w:r>
              <w:rPr>
                <w:b/>
              </w:rPr>
              <w:t>Departments Exceeding Overall Budgets</w:t>
            </w:r>
          </w:p>
        </w:tc>
      </w:tr>
      <w:tr w:rsidR="003A7979" w:rsidTr="003F75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A121B7" w:rsidRDefault="003A7979" w:rsidP="003F758F">
            <w:pPr>
              <w:pStyle w:val="TableTex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Contingency Transfer </w:t>
            </w:r>
            <w:r w:rsidRPr="00A121B7">
              <w:rPr>
                <w:b/>
                <w:sz w:val="22"/>
              </w:rPr>
              <w:t>Amount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A121B7" w:rsidRDefault="003A7979" w:rsidP="003F758F">
            <w:pPr>
              <w:pStyle w:val="TableText"/>
              <w:jc w:val="center"/>
              <w:rPr>
                <w:b/>
                <w:sz w:val="22"/>
              </w:rPr>
            </w:pPr>
            <w:r w:rsidRPr="00A121B7">
              <w:rPr>
                <w:b/>
                <w:sz w:val="22"/>
              </w:rPr>
              <w:t>Percent of Budget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A121B7" w:rsidRDefault="003A7979" w:rsidP="003F758F">
            <w:pPr>
              <w:pStyle w:val="TableTex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Expenditure Budget Exceeded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A121B7" w:rsidRDefault="003A7979" w:rsidP="003F758F">
            <w:pPr>
              <w:pStyle w:val="TableText"/>
              <w:jc w:val="center"/>
              <w:rPr>
                <w:b/>
                <w:sz w:val="22"/>
              </w:rPr>
            </w:pPr>
            <w:r w:rsidRPr="00A121B7">
              <w:rPr>
                <w:b/>
                <w:sz w:val="22"/>
              </w:rPr>
              <w:t>Department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A121B7" w:rsidRDefault="003A7979" w:rsidP="003F758F">
            <w:pPr>
              <w:pStyle w:val="TableText"/>
              <w:jc w:val="center"/>
              <w:rPr>
                <w:b/>
                <w:sz w:val="22"/>
              </w:rPr>
            </w:pPr>
            <w:r w:rsidRPr="00A121B7">
              <w:rPr>
                <w:b/>
                <w:sz w:val="22"/>
              </w:rPr>
              <w:t>Primary Reason for Variance</w:t>
            </w:r>
          </w:p>
        </w:tc>
      </w:tr>
      <w:tr w:rsidR="003A7979" w:rsidTr="003F75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$17,707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center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3.20%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center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$15,683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left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Administrator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left"/>
              <w:rPr>
                <w:bCs/>
                <w:sz w:val="22"/>
                <w:szCs w:val="22"/>
              </w:rPr>
            </w:pPr>
            <w:r w:rsidRPr="003A7979">
              <w:rPr>
                <w:bCs/>
                <w:sz w:val="22"/>
                <w:szCs w:val="22"/>
              </w:rPr>
              <w:t>Contracted Administrative Coordinator costs and additional community development costs to temper the effects of COVID.</w:t>
            </w:r>
          </w:p>
        </w:tc>
      </w:tr>
      <w:tr w:rsidR="003A7979" w:rsidTr="003F75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$25,816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center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1.97%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center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$0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left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Clerk of Courts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left"/>
              <w:rPr>
                <w:bCs/>
                <w:sz w:val="22"/>
                <w:szCs w:val="22"/>
              </w:rPr>
            </w:pPr>
            <w:r w:rsidRPr="003A7979">
              <w:rPr>
                <w:bCs/>
                <w:sz w:val="22"/>
                <w:szCs w:val="22"/>
              </w:rPr>
              <w:t>Fee collection less than budgeted due to COVID courts shutdown.</w:t>
            </w:r>
          </w:p>
        </w:tc>
      </w:tr>
      <w:tr w:rsidR="003A7979" w:rsidTr="003F75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$178,530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center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19.22%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center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$193,857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left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Corporation Counsel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left"/>
              <w:rPr>
                <w:bCs/>
                <w:sz w:val="22"/>
                <w:szCs w:val="22"/>
              </w:rPr>
            </w:pPr>
            <w:r w:rsidRPr="003A7979">
              <w:rPr>
                <w:bCs/>
                <w:sz w:val="22"/>
                <w:szCs w:val="22"/>
              </w:rPr>
              <w:t xml:space="preserve">Increased costs for contracted counsel due to staff turnover. ($155,000 already transferred from Contingency </w:t>
            </w:r>
            <w:proofErr w:type="gramStart"/>
            <w:r w:rsidRPr="003A7979">
              <w:rPr>
                <w:bCs/>
                <w:sz w:val="22"/>
                <w:szCs w:val="22"/>
              </w:rPr>
              <w:t>July,</w:t>
            </w:r>
            <w:proofErr w:type="gramEnd"/>
            <w:r w:rsidRPr="003A7979">
              <w:rPr>
                <w:bCs/>
                <w:sz w:val="22"/>
                <w:szCs w:val="22"/>
              </w:rPr>
              <w:t xml:space="preserve"> 2020.  Total for the year $333,530)</w:t>
            </w:r>
          </w:p>
        </w:tc>
      </w:tr>
      <w:tr w:rsidR="003A7979" w:rsidTr="003F75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$9,086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center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3.73%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center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$0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left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Court Commissioner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left"/>
              <w:rPr>
                <w:bCs/>
                <w:sz w:val="22"/>
                <w:szCs w:val="22"/>
              </w:rPr>
            </w:pPr>
            <w:r w:rsidRPr="003A7979">
              <w:rPr>
                <w:bCs/>
                <w:sz w:val="22"/>
                <w:szCs w:val="22"/>
              </w:rPr>
              <w:t>Revenues are down due to courts shutdown and fewer marriage licenses issued.</w:t>
            </w:r>
          </w:p>
        </w:tc>
      </w:tr>
      <w:tr w:rsidR="003A7979" w:rsidTr="003F75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$924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center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0.27%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center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$0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left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Emergency Management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979" w:rsidRPr="003A7979" w:rsidRDefault="003A7979" w:rsidP="003F758F">
            <w:pPr>
              <w:pStyle w:val="TableText"/>
              <w:jc w:val="left"/>
              <w:rPr>
                <w:bCs/>
                <w:sz w:val="22"/>
                <w:szCs w:val="22"/>
              </w:rPr>
            </w:pPr>
            <w:r w:rsidRPr="003A7979">
              <w:rPr>
                <w:bCs/>
                <w:sz w:val="22"/>
                <w:szCs w:val="22"/>
              </w:rPr>
              <w:t>COVID response supplies.</w:t>
            </w:r>
          </w:p>
        </w:tc>
      </w:tr>
      <w:tr w:rsidR="003A7979" w:rsidTr="003F758F">
        <w:trPr>
          <w:trHeight w:val="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9" w:rsidRPr="003A7979" w:rsidRDefault="003A7979" w:rsidP="003F758F">
            <w:pPr>
              <w:pStyle w:val="TableText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>$232,063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9" w:rsidRPr="003A7979" w:rsidRDefault="003A7979" w:rsidP="003F758F">
            <w:pPr>
              <w:pStyle w:val="TableText"/>
              <w:jc w:val="left"/>
              <w:rPr>
                <w:sz w:val="22"/>
                <w:szCs w:val="22"/>
              </w:rPr>
            </w:pPr>
            <w:r w:rsidRPr="003A7979">
              <w:rPr>
                <w:sz w:val="22"/>
                <w:szCs w:val="22"/>
              </w:rPr>
              <w:t xml:space="preserve">     Total Transfer from Contingency Fund</w:t>
            </w:r>
          </w:p>
        </w:tc>
      </w:tr>
    </w:tbl>
    <w:p w:rsidR="003A7979" w:rsidRPr="0067694C" w:rsidRDefault="003A7979" w:rsidP="003A7979">
      <w:pPr>
        <w:pStyle w:val="DefaultText"/>
        <w:ind w:left="5040" w:hanging="5040"/>
        <w:jc w:val="both"/>
        <w:rPr>
          <w:sz w:val="16"/>
        </w:rPr>
      </w:pPr>
    </w:p>
    <w:p w:rsidR="003A7979" w:rsidRDefault="003A7979" w:rsidP="00123B52">
      <w:pPr>
        <w:pStyle w:val="DefaultText"/>
        <w:ind w:firstLine="720"/>
        <w:jc w:val="both"/>
        <w:rPr>
          <w:b/>
          <w:sz w:val="22"/>
        </w:rPr>
      </w:pPr>
    </w:p>
    <w:p w:rsidR="003A7979" w:rsidRDefault="003A7979" w:rsidP="00123B52">
      <w:pPr>
        <w:pStyle w:val="DefaultText"/>
        <w:ind w:firstLine="720"/>
        <w:jc w:val="both"/>
        <w:rPr>
          <w:b/>
          <w:sz w:val="22"/>
        </w:rPr>
      </w:pPr>
    </w:p>
    <w:p w:rsidR="003A7979" w:rsidRDefault="003A7979" w:rsidP="00123B52">
      <w:pPr>
        <w:pStyle w:val="DefaultText"/>
        <w:ind w:firstLine="720"/>
        <w:jc w:val="both"/>
        <w:rPr>
          <w:b/>
          <w:sz w:val="22"/>
        </w:rPr>
      </w:pPr>
    </w:p>
    <w:p w:rsidR="003A7979" w:rsidRDefault="003A7979" w:rsidP="00123B52">
      <w:pPr>
        <w:pStyle w:val="DefaultText"/>
        <w:ind w:firstLine="720"/>
        <w:jc w:val="both"/>
        <w:rPr>
          <w:b/>
          <w:sz w:val="22"/>
        </w:rPr>
      </w:pPr>
    </w:p>
    <w:p w:rsidR="003A7979" w:rsidRDefault="003A7979" w:rsidP="00123B52">
      <w:pPr>
        <w:pStyle w:val="DefaultText"/>
        <w:ind w:firstLine="720"/>
        <w:jc w:val="both"/>
        <w:rPr>
          <w:b/>
          <w:sz w:val="22"/>
        </w:rPr>
      </w:pPr>
    </w:p>
    <w:p w:rsidR="003A7979" w:rsidRDefault="003A7979" w:rsidP="00123B52">
      <w:pPr>
        <w:pStyle w:val="DefaultText"/>
        <w:ind w:firstLine="720"/>
        <w:jc w:val="both"/>
        <w:rPr>
          <w:b/>
          <w:sz w:val="22"/>
        </w:rPr>
      </w:pPr>
    </w:p>
    <w:p w:rsidR="003A7979" w:rsidRDefault="003A7979" w:rsidP="00123B52">
      <w:pPr>
        <w:pStyle w:val="DefaultText"/>
        <w:ind w:firstLine="720"/>
        <w:jc w:val="both"/>
        <w:rPr>
          <w:b/>
          <w:sz w:val="22"/>
        </w:rPr>
      </w:pPr>
    </w:p>
    <w:p w:rsidR="003A7979" w:rsidRDefault="003A7979" w:rsidP="00123B52">
      <w:pPr>
        <w:pStyle w:val="DefaultText"/>
        <w:ind w:firstLine="720"/>
        <w:jc w:val="both"/>
        <w:rPr>
          <w:b/>
          <w:sz w:val="22"/>
        </w:rPr>
      </w:pPr>
    </w:p>
    <w:p w:rsidR="003A7979" w:rsidRDefault="003A7979" w:rsidP="00123B52">
      <w:pPr>
        <w:pStyle w:val="DefaultText"/>
        <w:ind w:firstLine="720"/>
        <w:jc w:val="both"/>
        <w:rPr>
          <w:b/>
          <w:sz w:val="22"/>
        </w:rPr>
      </w:pPr>
    </w:p>
    <w:p w:rsidR="003A7979" w:rsidRDefault="003A7979" w:rsidP="003A7979">
      <w:pPr>
        <w:pStyle w:val="DefaultText"/>
        <w:jc w:val="both"/>
        <w:rPr>
          <w:b/>
        </w:rPr>
      </w:pPr>
      <w:r w:rsidRPr="00743DE7">
        <w:rPr>
          <w:b/>
        </w:rPr>
        <w:lastRenderedPageBreak/>
        <w:t>Resolution ___________ - 2021   Authorizing Amendments to the 2020 Budget</w:t>
      </w:r>
    </w:p>
    <w:p w:rsidR="00CC26C7" w:rsidRPr="00CC26C7" w:rsidRDefault="00CC26C7" w:rsidP="003A7979">
      <w:pPr>
        <w:pStyle w:val="DefaultText"/>
        <w:jc w:val="both"/>
        <w:rPr>
          <w:sz w:val="22"/>
        </w:rPr>
      </w:pPr>
      <w:r w:rsidRPr="00CC26C7">
        <w:rPr>
          <w:sz w:val="22"/>
        </w:rPr>
        <w:t>Page 2 of 3</w:t>
      </w:r>
    </w:p>
    <w:p w:rsidR="003A7979" w:rsidRDefault="003A7979" w:rsidP="003A7979">
      <w:pPr>
        <w:pStyle w:val="DefaultText"/>
        <w:jc w:val="both"/>
      </w:pPr>
    </w:p>
    <w:p w:rsidR="00123B52" w:rsidRDefault="00123B52" w:rsidP="00123B52">
      <w:pPr>
        <w:pStyle w:val="DefaultText"/>
        <w:ind w:firstLine="720"/>
        <w:jc w:val="both"/>
        <w:rPr>
          <w:sz w:val="22"/>
        </w:rPr>
      </w:pPr>
      <w:r>
        <w:rPr>
          <w:b/>
          <w:sz w:val="22"/>
        </w:rPr>
        <w:t>WHEREAS</w:t>
      </w:r>
      <w:r>
        <w:rPr>
          <w:sz w:val="22"/>
        </w:rPr>
        <w:t>, expenditure of additional funds sometimes causes a department to exceed their expenditure appropriations, while not exceeding their net budget or available fund balances, as summarized below:</w:t>
      </w:r>
    </w:p>
    <w:p w:rsidR="00123B52" w:rsidRDefault="00123B52" w:rsidP="00123B52">
      <w:pPr>
        <w:pStyle w:val="DefaultText"/>
        <w:jc w:val="both"/>
        <w:rPr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81"/>
        <w:gridCol w:w="1600"/>
        <w:gridCol w:w="4048"/>
        <w:gridCol w:w="3007"/>
      </w:tblGrid>
      <w:tr w:rsidR="00123B52" w:rsidTr="003A7979">
        <w:trPr>
          <w:tblHeader/>
        </w:trPr>
        <w:tc>
          <w:tcPr>
            <w:tcW w:w="5000" w:type="pct"/>
            <w:gridSpan w:val="4"/>
          </w:tcPr>
          <w:p w:rsidR="00123B52" w:rsidRDefault="00123B52" w:rsidP="00B32D1D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Departments Exceeding Expenditure Budgets,</w:t>
            </w:r>
          </w:p>
          <w:p w:rsidR="00123B52" w:rsidRDefault="00123B52" w:rsidP="00B32D1D">
            <w:pPr>
              <w:pStyle w:val="TableText"/>
              <w:jc w:val="center"/>
              <w:rPr>
                <w:sz w:val="20"/>
              </w:rPr>
            </w:pPr>
            <w:r>
              <w:rPr>
                <w:b/>
              </w:rPr>
              <w:t>But Offsetting Revenues or Fund Balances Exist</w:t>
            </w:r>
          </w:p>
        </w:tc>
      </w:tr>
      <w:tr w:rsidR="00123B52" w:rsidTr="003A7979">
        <w:trPr>
          <w:tblHeader/>
        </w:trPr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52" w:rsidRPr="00A121B7" w:rsidRDefault="00123B52" w:rsidP="00B32D1D">
            <w:pPr>
              <w:pStyle w:val="TableText"/>
              <w:jc w:val="center"/>
              <w:rPr>
                <w:b/>
                <w:sz w:val="22"/>
                <w:szCs w:val="19"/>
              </w:rPr>
            </w:pPr>
            <w:r w:rsidRPr="00A121B7">
              <w:rPr>
                <w:b/>
                <w:sz w:val="22"/>
                <w:szCs w:val="19"/>
              </w:rPr>
              <w:t>Amount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52" w:rsidRPr="00A121B7" w:rsidRDefault="00123B52" w:rsidP="00B32D1D">
            <w:pPr>
              <w:pStyle w:val="TableText"/>
              <w:jc w:val="center"/>
              <w:rPr>
                <w:b/>
                <w:sz w:val="22"/>
                <w:szCs w:val="19"/>
              </w:rPr>
            </w:pPr>
            <w:r w:rsidRPr="00A121B7">
              <w:rPr>
                <w:b/>
                <w:sz w:val="22"/>
                <w:szCs w:val="19"/>
              </w:rPr>
              <w:t>Department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52" w:rsidRPr="00A121B7" w:rsidRDefault="00123B52" w:rsidP="00B32D1D">
            <w:pPr>
              <w:pStyle w:val="TableText"/>
              <w:jc w:val="center"/>
              <w:rPr>
                <w:b/>
                <w:sz w:val="22"/>
                <w:szCs w:val="19"/>
              </w:rPr>
            </w:pPr>
            <w:r w:rsidRPr="00A121B7">
              <w:rPr>
                <w:b/>
                <w:sz w:val="22"/>
                <w:szCs w:val="19"/>
              </w:rPr>
              <w:t>Primary Reason for Variance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52" w:rsidRPr="00A121B7" w:rsidRDefault="00123B52" w:rsidP="00B32D1D">
            <w:pPr>
              <w:pStyle w:val="TableText"/>
              <w:jc w:val="center"/>
              <w:rPr>
                <w:b/>
                <w:sz w:val="22"/>
                <w:szCs w:val="19"/>
              </w:rPr>
            </w:pPr>
            <w:r w:rsidRPr="00A121B7">
              <w:rPr>
                <w:b/>
                <w:sz w:val="22"/>
                <w:szCs w:val="19"/>
              </w:rPr>
              <w:t>Revenue Source</w:t>
            </w:r>
          </w:p>
        </w:tc>
      </w:tr>
      <w:tr w:rsidR="00F91D5A" w:rsidTr="003333B4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A43F9F" w:rsidRDefault="00F91D5A" w:rsidP="00F91D5A">
            <w:pPr>
              <w:pStyle w:val="TableText"/>
              <w:rPr>
                <w:sz w:val="22"/>
                <w:szCs w:val="18"/>
              </w:rPr>
            </w:pPr>
            <w:r w:rsidRPr="00A43F9F">
              <w:rPr>
                <w:sz w:val="22"/>
                <w:szCs w:val="18"/>
              </w:rPr>
              <w:t>$2,</w:t>
            </w:r>
            <w:r>
              <w:rPr>
                <w:sz w:val="22"/>
                <w:szCs w:val="18"/>
              </w:rPr>
              <w:t>106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F91D5A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F91D5A">
              <w:rPr>
                <w:sz w:val="22"/>
                <w:szCs w:val="18"/>
              </w:rPr>
              <w:t>Community Development Block Grant</w:t>
            </w:r>
            <w:r w:rsidR="0070322C">
              <w:rPr>
                <w:sz w:val="22"/>
                <w:szCs w:val="18"/>
              </w:rPr>
              <w:t xml:space="preserve"> (CDBG)</w:t>
            </w:r>
            <w:r w:rsidRPr="00F91D5A">
              <w:rPr>
                <w:sz w:val="22"/>
                <w:szCs w:val="18"/>
              </w:rPr>
              <w:t xml:space="preserve"> – Economic Development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F91D5A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F91D5A">
              <w:rPr>
                <w:sz w:val="22"/>
                <w:szCs w:val="18"/>
              </w:rPr>
              <w:t>Expenditures for Bluffview community park made prior to reimbursement from the State.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F91D5A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F91D5A">
              <w:rPr>
                <w:sz w:val="22"/>
                <w:szCs w:val="18"/>
              </w:rPr>
              <w:t xml:space="preserve">Revenue reimbursement to </w:t>
            </w:r>
            <w:proofErr w:type="gramStart"/>
            <w:r w:rsidRPr="00F91D5A">
              <w:rPr>
                <w:sz w:val="22"/>
                <w:szCs w:val="18"/>
              </w:rPr>
              <w:t>be received</w:t>
            </w:r>
            <w:proofErr w:type="gramEnd"/>
            <w:r w:rsidRPr="00F91D5A">
              <w:rPr>
                <w:sz w:val="22"/>
                <w:szCs w:val="18"/>
              </w:rPr>
              <w:t xml:space="preserve"> in 2021.</w:t>
            </w:r>
          </w:p>
        </w:tc>
      </w:tr>
      <w:tr w:rsidR="00F91D5A" w:rsidTr="003333B4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A43F9F" w:rsidRDefault="00F91D5A" w:rsidP="00F91D5A">
            <w:pPr>
              <w:pStyle w:val="TableText"/>
              <w:rPr>
                <w:sz w:val="22"/>
                <w:szCs w:val="18"/>
              </w:rPr>
            </w:pPr>
            <w:r w:rsidRPr="00A43F9F">
              <w:rPr>
                <w:sz w:val="22"/>
                <w:szCs w:val="18"/>
              </w:rPr>
              <w:t>$24,981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A43F9F" w:rsidRDefault="00F91D5A" w:rsidP="0070322C">
            <w:pPr>
              <w:pStyle w:val="TableText"/>
              <w:jc w:val="left"/>
              <w:rPr>
                <w:sz w:val="22"/>
                <w:szCs w:val="18"/>
              </w:rPr>
            </w:pPr>
            <w:r w:rsidRPr="00A43F9F">
              <w:rPr>
                <w:sz w:val="22"/>
                <w:szCs w:val="18"/>
              </w:rPr>
              <w:t>CDBG – Housing Rehabilitation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A43F9F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A43F9F">
              <w:rPr>
                <w:sz w:val="22"/>
                <w:szCs w:val="18"/>
              </w:rPr>
              <w:t>More revolving loan recipients repaid their loans than anticipated, so more dollars were available to re-loan into the community.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A43F9F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A43F9F">
              <w:rPr>
                <w:sz w:val="22"/>
                <w:szCs w:val="18"/>
              </w:rPr>
              <w:t>CDBG-Housing Rehabilitation fund balance and loan repayments are available.</w:t>
            </w:r>
          </w:p>
        </w:tc>
      </w:tr>
      <w:tr w:rsidR="00F91D5A" w:rsidTr="003333B4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A43F9F" w:rsidRDefault="00F91D5A" w:rsidP="00F91D5A">
            <w:pPr>
              <w:pStyle w:val="TableTex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$348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A43F9F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County Clerk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A43F9F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Election costs due to additional efforts to administer elections under COVID.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A43F9F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Election grant.</w:t>
            </w:r>
          </w:p>
        </w:tc>
      </w:tr>
      <w:tr w:rsidR="00F91D5A" w:rsidTr="003333B4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842F84" w:rsidRDefault="00842F84" w:rsidP="00F91D5A">
            <w:pPr>
              <w:pStyle w:val="TableText"/>
              <w:rPr>
                <w:sz w:val="22"/>
                <w:szCs w:val="18"/>
              </w:rPr>
            </w:pPr>
            <w:r w:rsidRPr="00842F84">
              <w:rPr>
                <w:sz w:val="22"/>
                <w:szCs w:val="18"/>
              </w:rPr>
              <w:t>$14,335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842F84" w:rsidRDefault="00842F84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842F84">
              <w:rPr>
                <w:sz w:val="22"/>
                <w:szCs w:val="18"/>
              </w:rPr>
              <w:t>Debt Service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842F84" w:rsidRDefault="00842F84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842F84">
              <w:rPr>
                <w:sz w:val="22"/>
                <w:szCs w:val="18"/>
              </w:rPr>
              <w:t>Interest earned on invested funds lower than budgeted.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842F84" w:rsidRDefault="00842F84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842F84">
              <w:rPr>
                <w:sz w:val="22"/>
                <w:szCs w:val="18"/>
              </w:rPr>
              <w:t>Fund balance for this purpose is available.</w:t>
            </w:r>
          </w:p>
        </w:tc>
      </w:tr>
      <w:tr w:rsidR="001C41FC" w:rsidTr="003333B4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1FC" w:rsidRPr="00842F84" w:rsidRDefault="00083C34" w:rsidP="00F91D5A">
            <w:pPr>
              <w:pStyle w:val="TableTex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$8,837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1FC" w:rsidRPr="00842F84" w:rsidRDefault="00083C34" w:rsidP="00F91D5A">
            <w:pPr>
              <w:pStyle w:val="TableTex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Dog License Fund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1FC" w:rsidRPr="00842F84" w:rsidRDefault="00E96AE9" w:rsidP="00F91D5A">
            <w:pPr>
              <w:pStyle w:val="TableTex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Payment of prior year’s collection to Humane Society higher than budgeted.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1FC" w:rsidRPr="00842F84" w:rsidRDefault="00083C34" w:rsidP="00F91D5A">
            <w:pPr>
              <w:pStyle w:val="TableTex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Collections higher than anticipated.</w:t>
            </w:r>
          </w:p>
        </w:tc>
      </w:tr>
      <w:tr w:rsidR="00F91D5A" w:rsidTr="003333B4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6C1B78" w:rsidRDefault="00F91D5A" w:rsidP="00F91D5A">
            <w:pPr>
              <w:pStyle w:val="TableText"/>
              <w:rPr>
                <w:sz w:val="22"/>
                <w:szCs w:val="18"/>
              </w:rPr>
            </w:pPr>
            <w:r w:rsidRPr="006C1B78">
              <w:rPr>
                <w:sz w:val="22"/>
                <w:szCs w:val="18"/>
              </w:rPr>
              <w:t>$1,561,971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6C1B78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6C1B78">
              <w:rPr>
                <w:sz w:val="22"/>
                <w:szCs w:val="18"/>
              </w:rPr>
              <w:t>Human Services Fund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6C1B78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6C1B78">
              <w:rPr>
                <w:sz w:val="22"/>
                <w:szCs w:val="18"/>
              </w:rPr>
              <w:t>Transfer favorable 2019 yearend fund balance over maximum to the General Fund per policy.  Comprehensive Community Services enrollments increase.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6C1B78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6C1B78">
              <w:rPr>
                <w:sz w:val="22"/>
                <w:szCs w:val="18"/>
              </w:rPr>
              <w:t>Human Services fund balance and additional revenues for these purposes are available.</w:t>
            </w:r>
          </w:p>
        </w:tc>
      </w:tr>
      <w:tr w:rsidR="00F91D5A" w:rsidTr="003333B4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9F2F18" w:rsidRDefault="00F91D5A" w:rsidP="00F91D5A">
            <w:pPr>
              <w:pStyle w:val="TableText"/>
              <w:rPr>
                <w:sz w:val="22"/>
                <w:szCs w:val="18"/>
              </w:rPr>
            </w:pPr>
            <w:r w:rsidRPr="009F2F18">
              <w:rPr>
                <w:sz w:val="22"/>
                <w:szCs w:val="18"/>
              </w:rPr>
              <w:t>$33,905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9F2F18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9F2F18">
              <w:rPr>
                <w:sz w:val="22"/>
                <w:szCs w:val="18"/>
              </w:rPr>
              <w:t>Landfill Remediation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9F2F18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9F2F18">
              <w:rPr>
                <w:sz w:val="22"/>
                <w:szCs w:val="18"/>
              </w:rPr>
              <w:t>Interest earned on invested funds lower than budgeted.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9F2F18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9F2F18">
              <w:rPr>
                <w:sz w:val="22"/>
                <w:szCs w:val="18"/>
              </w:rPr>
              <w:t>Fund balance for this purpose is available.</w:t>
            </w:r>
          </w:p>
        </w:tc>
      </w:tr>
      <w:tr w:rsidR="00F91D5A" w:rsidTr="003333B4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1C41FC" w:rsidRDefault="00F91D5A" w:rsidP="00F91D5A">
            <w:pPr>
              <w:pStyle w:val="TableText"/>
              <w:rPr>
                <w:sz w:val="22"/>
                <w:szCs w:val="18"/>
              </w:rPr>
            </w:pPr>
            <w:r w:rsidRPr="001C41FC">
              <w:rPr>
                <w:sz w:val="22"/>
                <w:szCs w:val="18"/>
              </w:rPr>
              <w:t>$</w:t>
            </w:r>
            <w:r w:rsidR="001C41FC" w:rsidRPr="001C41FC">
              <w:rPr>
                <w:sz w:val="22"/>
                <w:szCs w:val="18"/>
              </w:rPr>
              <w:t>14</w:t>
            </w:r>
            <w:r w:rsidRPr="001C41FC">
              <w:rPr>
                <w:sz w:val="22"/>
                <w:szCs w:val="18"/>
              </w:rPr>
              <w:t>,</w:t>
            </w:r>
            <w:r w:rsidR="001C41FC" w:rsidRPr="001C41FC">
              <w:rPr>
                <w:sz w:val="22"/>
                <w:szCs w:val="18"/>
              </w:rPr>
              <w:t>069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1C41FC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1C41FC">
              <w:rPr>
                <w:sz w:val="22"/>
                <w:szCs w:val="18"/>
              </w:rPr>
              <w:t>Insurance Fund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1C41FC" w:rsidRDefault="001C41FC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1C41FC">
              <w:rPr>
                <w:sz w:val="22"/>
                <w:szCs w:val="18"/>
              </w:rPr>
              <w:t>General liability insurance more expensive than anticipated.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1C41FC" w:rsidRDefault="001C41FC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1C41FC">
              <w:rPr>
                <w:sz w:val="22"/>
                <w:szCs w:val="18"/>
              </w:rPr>
              <w:t>Deductible fund refunds and departmental charges higher than anticipated.</w:t>
            </w:r>
          </w:p>
        </w:tc>
      </w:tr>
      <w:tr w:rsidR="00F91D5A" w:rsidTr="003333B4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3B2DDE" w:rsidRDefault="00F91D5A" w:rsidP="00F91D5A">
            <w:pPr>
              <w:pStyle w:val="TableText"/>
              <w:rPr>
                <w:sz w:val="22"/>
                <w:szCs w:val="18"/>
              </w:rPr>
            </w:pPr>
            <w:r w:rsidRPr="003B2DDE">
              <w:rPr>
                <w:sz w:val="22"/>
                <w:szCs w:val="18"/>
              </w:rPr>
              <w:t>$963,658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3B2DDE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3B2DDE">
              <w:rPr>
                <w:sz w:val="22"/>
                <w:szCs w:val="18"/>
              </w:rPr>
              <w:t>Public Health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3B2DDE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3B2DDE">
              <w:rPr>
                <w:sz w:val="22"/>
                <w:szCs w:val="18"/>
              </w:rPr>
              <w:t>COVID response:</w:t>
            </w:r>
          </w:p>
          <w:p w:rsidR="00F91D5A" w:rsidRPr="003B2DDE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3B2DDE">
              <w:rPr>
                <w:sz w:val="22"/>
                <w:szCs w:val="18"/>
              </w:rPr>
              <w:t>Testing $529,450</w:t>
            </w:r>
          </w:p>
          <w:p w:rsidR="00F91D5A" w:rsidRPr="003B2DDE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3B2DDE">
              <w:rPr>
                <w:sz w:val="22"/>
                <w:szCs w:val="18"/>
              </w:rPr>
              <w:t>Contact Tracing $434,208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3B2DDE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3B2DDE">
              <w:rPr>
                <w:sz w:val="22"/>
                <w:szCs w:val="18"/>
              </w:rPr>
              <w:t>Grant proceeds received.</w:t>
            </w:r>
          </w:p>
        </w:tc>
      </w:tr>
      <w:tr w:rsidR="00F91D5A" w:rsidTr="003333B4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83390B" w:rsidRDefault="00F91D5A" w:rsidP="00F91D5A">
            <w:pPr>
              <w:pStyle w:val="TableText"/>
              <w:rPr>
                <w:sz w:val="22"/>
                <w:szCs w:val="18"/>
              </w:rPr>
            </w:pPr>
            <w:r w:rsidRPr="0083390B">
              <w:rPr>
                <w:sz w:val="22"/>
                <w:szCs w:val="18"/>
              </w:rPr>
              <w:t>$10,762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83390B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83390B">
              <w:rPr>
                <w:sz w:val="22"/>
                <w:szCs w:val="18"/>
              </w:rPr>
              <w:t>Register in Probate &amp; Juvenile Clerk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83390B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83390B">
              <w:rPr>
                <w:sz w:val="22"/>
                <w:szCs w:val="18"/>
              </w:rPr>
              <w:t>Court appointed counsel for juvenile matters exceeded historical averages.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83390B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83390B">
              <w:rPr>
                <w:sz w:val="22"/>
                <w:szCs w:val="18"/>
              </w:rPr>
              <w:t>Probate filing fees also exceeded budgeted revenues.</w:t>
            </w:r>
          </w:p>
        </w:tc>
      </w:tr>
      <w:tr w:rsidR="00F91D5A" w:rsidTr="003333B4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3333B4" w:rsidRDefault="00F91D5A" w:rsidP="00F91D5A">
            <w:pPr>
              <w:pStyle w:val="TableText"/>
              <w:rPr>
                <w:sz w:val="22"/>
                <w:szCs w:val="18"/>
              </w:rPr>
            </w:pPr>
            <w:r w:rsidRPr="003333B4">
              <w:rPr>
                <w:sz w:val="22"/>
                <w:szCs w:val="18"/>
              </w:rPr>
              <w:t>$172,069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3333B4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 w:rsidRPr="003333B4">
              <w:rPr>
                <w:sz w:val="22"/>
                <w:szCs w:val="18"/>
              </w:rPr>
              <w:t>Sheriff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3333B4" w:rsidRDefault="00F91D5A" w:rsidP="0070322C">
            <w:pPr>
              <w:pStyle w:val="TableText"/>
              <w:jc w:val="left"/>
              <w:rPr>
                <w:sz w:val="22"/>
                <w:szCs w:val="18"/>
              </w:rPr>
            </w:pPr>
            <w:r w:rsidRPr="003333B4">
              <w:rPr>
                <w:sz w:val="22"/>
                <w:szCs w:val="18"/>
              </w:rPr>
              <w:t>COVID expenses total $291,630, including a thermal body scanner for $164,000.</w:t>
            </w:r>
          </w:p>
        </w:tc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5A" w:rsidRPr="003333B4" w:rsidRDefault="00F91D5A" w:rsidP="00F91D5A">
            <w:pPr>
              <w:pStyle w:val="TableText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COVID Routes to Recovery </w:t>
            </w:r>
            <w:r w:rsidRPr="003333B4">
              <w:rPr>
                <w:sz w:val="22"/>
                <w:szCs w:val="18"/>
              </w:rPr>
              <w:t>grant funds.</w:t>
            </w:r>
          </w:p>
        </w:tc>
      </w:tr>
    </w:tbl>
    <w:p w:rsidR="00123B52" w:rsidRPr="0067694C" w:rsidRDefault="00123B52" w:rsidP="003A7979">
      <w:pPr>
        <w:pStyle w:val="DefaultText"/>
        <w:jc w:val="both"/>
        <w:rPr>
          <w:sz w:val="16"/>
        </w:rPr>
      </w:pPr>
      <w:r>
        <w:rPr>
          <w:b/>
          <w:sz w:val="22"/>
        </w:rPr>
        <w:tab/>
      </w:r>
    </w:p>
    <w:p w:rsidR="00123B52" w:rsidRDefault="00123B52" w:rsidP="00123B52">
      <w:pPr>
        <w:pStyle w:val="DefaultText"/>
        <w:jc w:val="both"/>
        <w:rPr>
          <w:b/>
          <w:sz w:val="22"/>
        </w:rPr>
      </w:pPr>
      <w:r>
        <w:rPr>
          <w:b/>
          <w:sz w:val="22"/>
        </w:rPr>
        <w:tab/>
      </w:r>
    </w:p>
    <w:p w:rsidR="00123B52" w:rsidRDefault="00123B52" w:rsidP="00123B52">
      <w:pPr>
        <w:pStyle w:val="DefaultText"/>
        <w:ind w:firstLine="720"/>
        <w:jc w:val="both"/>
        <w:rPr>
          <w:sz w:val="22"/>
        </w:rPr>
      </w:pPr>
      <w:r>
        <w:rPr>
          <w:b/>
          <w:sz w:val="22"/>
        </w:rPr>
        <w:t xml:space="preserve">NOW, THEREFORE, BE IT RESOLVED </w:t>
      </w:r>
      <w:r>
        <w:rPr>
          <w:sz w:val="22"/>
        </w:rPr>
        <w:t>that the 20</w:t>
      </w:r>
      <w:r w:rsidR="004E16A9">
        <w:rPr>
          <w:sz w:val="22"/>
        </w:rPr>
        <w:t>20</w:t>
      </w:r>
      <w:r>
        <w:rPr>
          <w:sz w:val="22"/>
        </w:rPr>
        <w:t xml:space="preserve"> budgets of the above-described departments that did not exceed their net appropriations be amended to appropriate the additional funds rec</w:t>
      </w:r>
      <w:r w:rsidR="008C0C87">
        <w:rPr>
          <w:sz w:val="22"/>
        </w:rPr>
        <w:t>eived or fund balances</w:t>
      </w:r>
      <w:r>
        <w:rPr>
          <w:sz w:val="22"/>
        </w:rPr>
        <w:t>; and,</w:t>
      </w:r>
    </w:p>
    <w:p w:rsidR="00123B52" w:rsidRPr="00BA10AA" w:rsidRDefault="00123B52" w:rsidP="00123B52">
      <w:pPr>
        <w:pStyle w:val="DefaultText"/>
        <w:jc w:val="both"/>
        <w:rPr>
          <w:sz w:val="16"/>
        </w:rPr>
      </w:pPr>
    </w:p>
    <w:p w:rsidR="00BE242C" w:rsidRPr="00BE242C" w:rsidRDefault="00BE242C" w:rsidP="00123B52">
      <w:pPr>
        <w:pStyle w:val="DefaultText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BE IT FURTHER RESOLVED,</w:t>
      </w:r>
      <w:r>
        <w:rPr>
          <w:sz w:val="22"/>
        </w:rPr>
        <w:t xml:space="preserve"> </w:t>
      </w:r>
      <w:r w:rsidRPr="00BE242C">
        <w:rPr>
          <w:sz w:val="22"/>
        </w:rPr>
        <w:t>that $37,063 be transferred from General Fund Balance to the 2020 contingency fund; and,</w:t>
      </w:r>
    </w:p>
    <w:p w:rsidR="00BE242C" w:rsidRPr="00BE242C" w:rsidRDefault="00BE242C" w:rsidP="00123B52">
      <w:pPr>
        <w:pStyle w:val="DefaultText"/>
        <w:jc w:val="both"/>
        <w:rPr>
          <w:sz w:val="22"/>
        </w:rPr>
      </w:pPr>
    </w:p>
    <w:p w:rsidR="003C0697" w:rsidRDefault="00123B52" w:rsidP="00123B52">
      <w:pPr>
        <w:pStyle w:val="DefaultText"/>
        <w:jc w:val="both"/>
        <w:rPr>
          <w:rStyle w:val="InitialStyle"/>
          <w:szCs w:val="24"/>
        </w:rPr>
      </w:pPr>
      <w:r w:rsidRPr="00BE242C">
        <w:rPr>
          <w:sz w:val="22"/>
        </w:rPr>
        <w:tab/>
      </w:r>
      <w:r w:rsidRPr="00BE242C">
        <w:rPr>
          <w:b/>
          <w:sz w:val="22"/>
        </w:rPr>
        <w:t>BE IT FURTHER RESOLVED,</w:t>
      </w:r>
      <w:r w:rsidRPr="00BE242C">
        <w:rPr>
          <w:sz w:val="22"/>
        </w:rPr>
        <w:t xml:space="preserve"> </w:t>
      </w:r>
      <w:proofErr w:type="gramStart"/>
      <w:r w:rsidRPr="00BE242C">
        <w:rPr>
          <w:sz w:val="22"/>
        </w:rPr>
        <w:t>that $</w:t>
      </w:r>
      <w:r w:rsidR="00A668B4" w:rsidRPr="00BE242C">
        <w:rPr>
          <w:sz w:val="22"/>
        </w:rPr>
        <w:t>2</w:t>
      </w:r>
      <w:r w:rsidR="008C0C87" w:rsidRPr="00BE242C">
        <w:rPr>
          <w:sz w:val="22"/>
        </w:rPr>
        <w:t>32</w:t>
      </w:r>
      <w:r w:rsidR="00A14F7D" w:rsidRPr="00BE242C">
        <w:rPr>
          <w:sz w:val="22"/>
        </w:rPr>
        <w:t>,</w:t>
      </w:r>
      <w:r w:rsidR="008C0C87" w:rsidRPr="00BE242C">
        <w:rPr>
          <w:sz w:val="22"/>
        </w:rPr>
        <w:t>0</w:t>
      </w:r>
      <w:r w:rsidR="00A668B4" w:rsidRPr="00BE242C">
        <w:rPr>
          <w:sz w:val="22"/>
        </w:rPr>
        <w:t>6</w:t>
      </w:r>
      <w:r w:rsidR="008C0C87" w:rsidRPr="00BE242C">
        <w:rPr>
          <w:sz w:val="22"/>
        </w:rPr>
        <w:t>3</w:t>
      </w:r>
      <w:r w:rsidRPr="00BE242C">
        <w:rPr>
          <w:sz w:val="22"/>
        </w:rPr>
        <w:t xml:space="preserve"> be transferred</w:t>
      </w:r>
      <w:proofErr w:type="gramEnd"/>
      <w:r w:rsidRPr="00BE242C">
        <w:rPr>
          <w:sz w:val="22"/>
        </w:rPr>
        <w:t xml:space="preserve"> from the </w:t>
      </w:r>
      <w:r>
        <w:rPr>
          <w:sz w:val="22"/>
        </w:rPr>
        <w:t>20</w:t>
      </w:r>
      <w:r w:rsidR="004E16A9">
        <w:rPr>
          <w:sz w:val="22"/>
        </w:rPr>
        <w:t>20</w:t>
      </w:r>
      <w:r>
        <w:rPr>
          <w:sz w:val="22"/>
        </w:rPr>
        <w:t xml:space="preserve"> contingency fund to the above-described departments’ 20</w:t>
      </w:r>
      <w:r w:rsidR="004E16A9">
        <w:rPr>
          <w:sz w:val="22"/>
        </w:rPr>
        <w:t>20</w:t>
      </w:r>
      <w:r>
        <w:rPr>
          <w:sz w:val="22"/>
        </w:rPr>
        <w:t xml:space="preserve"> budgets that were exceeded when other balances were not available.</w:t>
      </w:r>
    </w:p>
    <w:p w:rsidR="00D23F40" w:rsidRPr="00306582" w:rsidRDefault="00D23F40" w:rsidP="00297245">
      <w:pPr>
        <w:pStyle w:val="DefaultText"/>
        <w:jc w:val="both"/>
        <w:rPr>
          <w:szCs w:val="24"/>
        </w:rPr>
      </w:pPr>
    </w:p>
    <w:p w:rsidR="00306582" w:rsidRDefault="00306582">
      <w:pPr>
        <w:pStyle w:val="DefaultText"/>
        <w:rPr>
          <w:szCs w:val="24"/>
        </w:rPr>
      </w:pPr>
    </w:p>
    <w:p w:rsidR="00CC26C7" w:rsidRDefault="00CC26C7" w:rsidP="00CC26C7">
      <w:pPr>
        <w:pStyle w:val="DefaultText"/>
        <w:jc w:val="both"/>
        <w:rPr>
          <w:b/>
        </w:rPr>
      </w:pPr>
      <w:r w:rsidRPr="00743DE7">
        <w:rPr>
          <w:b/>
        </w:rPr>
        <w:t>Resolution ___________ - 2021   Authorizing Amendments to the 2020 Budget</w:t>
      </w:r>
    </w:p>
    <w:p w:rsidR="00CC26C7" w:rsidRPr="00CC26C7" w:rsidRDefault="00CC26C7" w:rsidP="00CC26C7">
      <w:pPr>
        <w:pStyle w:val="DefaultText"/>
        <w:jc w:val="both"/>
        <w:rPr>
          <w:sz w:val="22"/>
        </w:rPr>
      </w:pPr>
      <w:r w:rsidRPr="00CC26C7">
        <w:rPr>
          <w:sz w:val="22"/>
        </w:rPr>
        <w:t xml:space="preserve">Page </w:t>
      </w:r>
      <w:r>
        <w:rPr>
          <w:sz w:val="22"/>
        </w:rPr>
        <w:t>3</w:t>
      </w:r>
      <w:bookmarkStart w:id="0" w:name="_GoBack"/>
      <w:bookmarkEnd w:id="0"/>
      <w:r w:rsidRPr="00CC26C7">
        <w:rPr>
          <w:sz w:val="22"/>
        </w:rPr>
        <w:t xml:space="preserve"> of 3</w:t>
      </w:r>
    </w:p>
    <w:p w:rsidR="003A7979" w:rsidRDefault="003A7979">
      <w:pPr>
        <w:pStyle w:val="DefaultText"/>
        <w:rPr>
          <w:szCs w:val="24"/>
        </w:rPr>
      </w:pPr>
    </w:p>
    <w:p w:rsidR="00CC26C7" w:rsidRDefault="00CC26C7">
      <w:pPr>
        <w:pStyle w:val="DefaultText"/>
        <w:rPr>
          <w:szCs w:val="24"/>
        </w:rPr>
      </w:pPr>
    </w:p>
    <w:p w:rsidR="009775D9" w:rsidRPr="003A7979" w:rsidRDefault="009775D9" w:rsidP="003A7979">
      <w:pPr>
        <w:overflowPunct/>
        <w:autoSpaceDE/>
        <w:autoSpaceDN/>
        <w:adjustRightInd/>
        <w:textAlignment w:val="auto"/>
        <w:rPr>
          <w:sz w:val="22"/>
          <w:szCs w:val="24"/>
        </w:rPr>
      </w:pPr>
      <w:r w:rsidRPr="003A7979">
        <w:rPr>
          <w:sz w:val="22"/>
          <w:szCs w:val="24"/>
        </w:rPr>
        <w:t xml:space="preserve">For consideration by the Sauk County Board of Supervisors on </w:t>
      </w:r>
      <w:r w:rsidR="004E16A9" w:rsidRPr="003A7979">
        <w:rPr>
          <w:sz w:val="22"/>
          <w:szCs w:val="24"/>
        </w:rPr>
        <w:t>May</w:t>
      </w:r>
      <w:r w:rsidR="00723897" w:rsidRPr="003A7979">
        <w:rPr>
          <w:sz w:val="22"/>
          <w:szCs w:val="24"/>
        </w:rPr>
        <w:t xml:space="preserve"> </w:t>
      </w:r>
      <w:r w:rsidR="006F3161" w:rsidRPr="003A7979">
        <w:rPr>
          <w:sz w:val="22"/>
          <w:szCs w:val="24"/>
        </w:rPr>
        <w:t>1</w:t>
      </w:r>
      <w:r w:rsidR="004E16A9" w:rsidRPr="003A7979">
        <w:rPr>
          <w:sz w:val="22"/>
          <w:szCs w:val="24"/>
        </w:rPr>
        <w:t>8</w:t>
      </w:r>
      <w:r w:rsidR="002A1BFE" w:rsidRPr="003A7979">
        <w:rPr>
          <w:sz w:val="22"/>
          <w:szCs w:val="24"/>
        </w:rPr>
        <w:t>, 20</w:t>
      </w:r>
      <w:r w:rsidR="006F3161" w:rsidRPr="003A7979">
        <w:rPr>
          <w:sz w:val="22"/>
          <w:szCs w:val="24"/>
        </w:rPr>
        <w:t>2</w:t>
      </w:r>
      <w:r w:rsidR="004E16A9" w:rsidRPr="003A7979">
        <w:rPr>
          <w:sz w:val="22"/>
          <w:szCs w:val="24"/>
        </w:rPr>
        <w:t>1</w:t>
      </w:r>
      <w:r w:rsidRPr="003A7979">
        <w:rPr>
          <w:sz w:val="22"/>
          <w:szCs w:val="24"/>
        </w:rPr>
        <w:t>.</w:t>
      </w:r>
    </w:p>
    <w:p w:rsidR="009775D9" w:rsidRPr="001A11B7" w:rsidRDefault="009775D9">
      <w:pPr>
        <w:pStyle w:val="DefaultText"/>
        <w:rPr>
          <w:szCs w:val="24"/>
        </w:rPr>
      </w:pPr>
    </w:p>
    <w:p w:rsidR="009775D9" w:rsidRDefault="009775D9">
      <w:pPr>
        <w:pStyle w:val="DefaultText"/>
        <w:rPr>
          <w:szCs w:val="24"/>
        </w:rPr>
      </w:pPr>
      <w:r w:rsidRPr="001A11B7">
        <w:rPr>
          <w:szCs w:val="24"/>
        </w:rPr>
        <w:t>Respectfully submitted:</w:t>
      </w:r>
    </w:p>
    <w:p w:rsidR="00B27FAF" w:rsidRPr="001A11B7" w:rsidRDefault="00B27FAF">
      <w:pPr>
        <w:pStyle w:val="DefaultText"/>
        <w:rPr>
          <w:szCs w:val="24"/>
        </w:rPr>
      </w:pPr>
    </w:p>
    <w:p w:rsidR="009775D9" w:rsidRPr="00286BCD" w:rsidRDefault="009775D9">
      <w:pPr>
        <w:pStyle w:val="DefaultText"/>
        <w:rPr>
          <w:b/>
          <w:szCs w:val="24"/>
        </w:rPr>
      </w:pPr>
      <w:r w:rsidRPr="00286BCD">
        <w:rPr>
          <w:b/>
          <w:szCs w:val="24"/>
        </w:rPr>
        <w:t>SAUK COUNTY FIN</w:t>
      </w:r>
      <w:r w:rsidR="00FE1C65" w:rsidRPr="00286BCD">
        <w:rPr>
          <w:b/>
          <w:szCs w:val="24"/>
        </w:rPr>
        <w:t>ANCE COMMITTEE</w:t>
      </w:r>
    </w:p>
    <w:p w:rsidR="009775D9" w:rsidRPr="001A11B7" w:rsidRDefault="009775D9">
      <w:pPr>
        <w:pStyle w:val="DefaultText"/>
        <w:rPr>
          <w:b/>
          <w:i/>
          <w:szCs w:val="24"/>
        </w:rPr>
      </w:pPr>
    </w:p>
    <w:p w:rsidR="00EA2F83" w:rsidRPr="001A11B7" w:rsidRDefault="00EA2F83">
      <w:pPr>
        <w:pStyle w:val="DefaultText"/>
        <w:rPr>
          <w:szCs w:val="24"/>
        </w:rPr>
      </w:pPr>
    </w:p>
    <w:p w:rsidR="009775D9" w:rsidRPr="001A11B7" w:rsidRDefault="009775D9">
      <w:pPr>
        <w:pStyle w:val="DefaultText"/>
        <w:rPr>
          <w:szCs w:val="24"/>
        </w:rPr>
      </w:pPr>
      <w:r w:rsidRPr="001A11B7">
        <w:rPr>
          <w:szCs w:val="24"/>
        </w:rPr>
        <w:t>______________________________</w:t>
      </w:r>
      <w:r w:rsidRPr="001A11B7">
        <w:rPr>
          <w:szCs w:val="24"/>
        </w:rPr>
        <w:tab/>
        <w:t>__________________________________</w:t>
      </w:r>
    </w:p>
    <w:p w:rsidR="009775D9" w:rsidRPr="001A11B7" w:rsidRDefault="006F3161">
      <w:pPr>
        <w:pStyle w:val="DefaultText"/>
        <w:rPr>
          <w:szCs w:val="24"/>
        </w:rPr>
      </w:pPr>
      <w:r>
        <w:rPr>
          <w:szCs w:val="24"/>
        </w:rPr>
        <w:t>Martin F. Krueger, Chair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Thomas Dorner</w:t>
      </w:r>
    </w:p>
    <w:p w:rsidR="009775D9" w:rsidRPr="001A11B7" w:rsidRDefault="009775D9">
      <w:pPr>
        <w:pStyle w:val="DefaultText"/>
        <w:rPr>
          <w:szCs w:val="24"/>
        </w:rPr>
      </w:pPr>
    </w:p>
    <w:p w:rsidR="00EA2F83" w:rsidRPr="001A11B7" w:rsidRDefault="00EA2F83">
      <w:pPr>
        <w:pStyle w:val="DefaultText"/>
        <w:rPr>
          <w:szCs w:val="24"/>
        </w:rPr>
      </w:pPr>
    </w:p>
    <w:p w:rsidR="009775D9" w:rsidRPr="001A11B7" w:rsidRDefault="009775D9">
      <w:pPr>
        <w:pStyle w:val="DefaultText"/>
        <w:rPr>
          <w:szCs w:val="24"/>
        </w:rPr>
      </w:pPr>
      <w:r w:rsidRPr="001A11B7">
        <w:rPr>
          <w:szCs w:val="24"/>
        </w:rPr>
        <w:t>______________________________</w:t>
      </w:r>
      <w:r w:rsidRPr="001A11B7">
        <w:rPr>
          <w:szCs w:val="24"/>
        </w:rPr>
        <w:tab/>
        <w:t>__________________________________</w:t>
      </w:r>
    </w:p>
    <w:p w:rsidR="00E26192" w:rsidRDefault="006F3161">
      <w:pPr>
        <w:pStyle w:val="DefaultText"/>
        <w:rPr>
          <w:szCs w:val="24"/>
        </w:rPr>
      </w:pPr>
      <w:r>
        <w:rPr>
          <w:szCs w:val="24"/>
        </w:rPr>
        <w:t>Richard “Mike” Flint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Tim McCumber</w:t>
      </w:r>
    </w:p>
    <w:p w:rsidR="00E26192" w:rsidRDefault="00E26192">
      <w:pPr>
        <w:pStyle w:val="DefaultText"/>
        <w:rPr>
          <w:szCs w:val="24"/>
        </w:rPr>
      </w:pPr>
    </w:p>
    <w:p w:rsidR="00E26192" w:rsidRDefault="00E26192">
      <w:pPr>
        <w:pStyle w:val="DefaultText"/>
        <w:rPr>
          <w:szCs w:val="24"/>
        </w:rPr>
      </w:pPr>
    </w:p>
    <w:p w:rsidR="00E26192" w:rsidRDefault="00E26192">
      <w:pPr>
        <w:pStyle w:val="DefaultText"/>
        <w:rPr>
          <w:szCs w:val="24"/>
        </w:rPr>
      </w:pPr>
      <w:r w:rsidRPr="001A11B7">
        <w:rPr>
          <w:szCs w:val="24"/>
        </w:rPr>
        <w:t>______________________________</w:t>
      </w:r>
      <w:r w:rsidRPr="001A11B7">
        <w:rPr>
          <w:szCs w:val="24"/>
        </w:rPr>
        <w:tab/>
      </w:r>
    </w:p>
    <w:p w:rsidR="009775D9" w:rsidRPr="001A11B7" w:rsidRDefault="006F3161">
      <w:pPr>
        <w:pStyle w:val="DefaultText"/>
        <w:rPr>
          <w:szCs w:val="24"/>
        </w:rPr>
      </w:pPr>
      <w:r>
        <w:rPr>
          <w:szCs w:val="24"/>
        </w:rPr>
        <w:t>Lynn Eberl</w:t>
      </w:r>
    </w:p>
    <w:p w:rsidR="009775D9" w:rsidRPr="001A11B7" w:rsidRDefault="009775D9">
      <w:pPr>
        <w:pStyle w:val="DefaultText"/>
        <w:rPr>
          <w:szCs w:val="24"/>
        </w:rPr>
      </w:pPr>
    </w:p>
    <w:p w:rsidR="009775D9" w:rsidRPr="001A11B7" w:rsidRDefault="009775D9">
      <w:pPr>
        <w:pStyle w:val="DefaultText"/>
        <w:rPr>
          <w:szCs w:val="24"/>
        </w:rPr>
      </w:pPr>
    </w:p>
    <w:p w:rsidR="00C32881" w:rsidRPr="001A11B7" w:rsidRDefault="00C32881" w:rsidP="00723897">
      <w:pPr>
        <w:pStyle w:val="DefaultText"/>
        <w:tabs>
          <w:tab w:val="left" w:pos="720"/>
          <w:tab w:val="left" w:pos="3060"/>
        </w:tabs>
        <w:jc w:val="both"/>
        <w:rPr>
          <w:szCs w:val="24"/>
        </w:rPr>
      </w:pPr>
    </w:p>
    <w:p w:rsidR="00306582" w:rsidRPr="00306582" w:rsidRDefault="00306582" w:rsidP="00306582">
      <w:pPr>
        <w:pStyle w:val="DefaultText"/>
        <w:tabs>
          <w:tab w:val="left" w:pos="720"/>
          <w:tab w:val="left" w:pos="3060"/>
        </w:tabs>
        <w:jc w:val="both"/>
        <w:rPr>
          <w:szCs w:val="24"/>
        </w:rPr>
      </w:pPr>
      <w:r w:rsidRPr="00306582">
        <w:rPr>
          <w:szCs w:val="24"/>
        </w:rPr>
        <w:t xml:space="preserve">Fiscal Note:  </w:t>
      </w:r>
      <w:r w:rsidR="00385C5F">
        <w:rPr>
          <w:szCs w:val="24"/>
        </w:rPr>
        <w:t>Transfers from the contingency fund to overdrawn departments in 2020 total $387,063.</w:t>
      </w:r>
    </w:p>
    <w:p w:rsidR="00306582" w:rsidRPr="00306582" w:rsidRDefault="00306582" w:rsidP="00306582">
      <w:pPr>
        <w:pStyle w:val="DefaultText"/>
        <w:tabs>
          <w:tab w:val="left" w:pos="720"/>
          <w:tab w:val="left" w:pos="3060"/>
        </w:tabs>
        <w:jc w:val="both"/>
        <w:rPr>
          <w:szCs w:val="24"/>
        </w:rPr>
      </w:pPr>
    </w:p>
    <w:p w:rsidR="00306582" w:rsidRPr="00306582" w:rsidRDefault="00306582" w:rsidP="00306582">
      <w:pPr>
        <w:pStyle w:val="DefaultText"/>
        <w:tabs>
          <w:tab w:val="left" w:pos="720"/>
          <w:tab w:val="left" w:pos="3060"/>
        </w:tabs>
        <w:jc w:val="both"/>
        <w:rPr>
          <w:szCs w:val="24"/>
        </w:rPr>
      </w:pPr>
      <w:r w:rsidRPr="00306582">
        <w:rPr>
          <w:szCs w:val="24"/>
        </w:rPr>
        <w:t xml:space="preserve">Information Systems Note:  </w:t>
      </w:r>
      <w:r w:rsidR="00723897">
        <w:rPr>
          <w:szCs w:val="24"/>
        </w:rPr>
        <w:t>No information systems impact</w:t>
      </w:r>
      <w:r w:rsidRPr="00306582">
        <w:rPr>
          <w:szCs w:val="24"/>
        </w:rPr>
        <w:t>.</w:t>
      </w:r>
    </w:p>
    <w:sectPr w:rsidR="00306582" w:rsidRPr="00306582" w:rsidSect="00664685">
      <w:pgSz w:w="12240" w:h="15840"/>
      <w:pgMar w:top="1080" w:right="1152" w:bottom="864" w:left="1152" w:header="648" w:footer="6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AD"/>
    <w:rsid w:val="00006B3E"/>
    <w:rsid w:val="0002658A"/>
    <w:rsid w:val="00066636"/>
    <w:rsid w:val="00074FEE"/>
    <w:rsid w:val="00083C34"/>
    <w:rsid w:val="000952EE"/>
    <w:rsid w:val="000A2560"/>
    <w:rsid w:val="000B6502"/>
    <w:rsid w:val="00105847"/>
    <w:rsid w:val="00120A79"/>
    <w:rsid w:val="00122A14"/>
    <w:rsid w:val="00123B52"/>
    <w:rsid w:val="00163B21"/>
    <w:rsid w:val="00173C25"/>
    <w:rsid w:val="0017544E"/>
    <w:rsid w:val="00190CDC"/>
    <w:rsid w:val="001A0990"/>
    <w:rsid w:val="001A11B7"/>
    <w:rsid w:val="001A6EDF"/>
    <w:rsid w:val="001B38B2"/>
    <w:rsid w:val="001C41FC"/>
    <w:rsid w:val="001C6095"/>
    <w:rsid w:val="001D3963"/>
    <w:rsid w:val="001F64BC"/>
    <w:rsid w:val="002414DE"/>
    <w:rsid w:val="002435B3"/>
    <w:rsid w:val="00250000"/>
    <w:rsid w:val="002525A3"/>
    <w:rsid w:val="00286BCD"/>
    <w:rsid w:val="00297245"/>
    <w:rsid w:val="002A1BFE"/>
    <w:rsid w:val="002C43AE"/>
    <w:rsid w:val="002C67F1"/>
    <w:rsid w:val="002D05B7"/>
    <w:rsid w:val="00306582"/>
    <w:rsid w:val="00315BB4"/>
    <w:rsid w:val="003333B4"/>
    <w:rsid w:val="00367495"/>
    <w:rsid w:val="0037497E"/>
    <w:rsid w:val="00374D8C"/>
    <w:rsid w:val="00385C5F"/>
    <w:rsid w:val="003A7979"/>
    <w:rsid w:val="003B2DDE"/>
    <w:rsid w:val="003B47C7"/>
    <w:rsid w:val="003C0697"/>
    <w:rsid w:val="003E14D0"/>
    <w:rsid w:val="00426207"/>
    <w:rsid w:val="00452E6A"/>
    <w:rsid w:val="00483E57"/>
    <w:rsid w:val="004852F8"/>
    <w:rsid w:val="004B1FD4"/>
    <w:rsid w:val="004C06ED"/>
    <w:rsid w:val="004E16A9"/>
    <w:rsid w:val="004F5A85"/>
    <w:rsid w:val="00542383"/>
    <w:rsid w:val="0056443C"/>
    <w:rsid w:val="00572B98"/>
    <w:rsid w:val="005A41BC"/>
    <w:rsid w:val="005B0E88"/>
    <w:rsid w:val="005B4CA0"/>
    <w:rsid w:val="005F609D"/>
    <w:rsid w:val="00620C23"/>
    <w:rsid w:val="00662409"/>
    <w:rsid w:val="00664685"/>
    <w:rsid w:val="006B2408"/>
    <w:rsid w:val="006C1B78"/>
    <w:rsid w:val="006F3161"/>
    <w:rsid w:val="006F6B55"/>
    <w:rsid w:val="0070322C"/>
    <w:rsid w:val="00714091"/>
    <w:rsid w:val="00720E52"/>
    <w:rsid w:val="00723897"/>
    <w:rsid w:val="00743DE7"/>
    <w:rsid w:val="00750B16"/>
    <w:rsid w:val="007520BA"/>
    <w:rsid w:val="007537E0"/>
    <w:rsid w:val="00765066"/>
    <w:rsid w:val="00775AE0"/>
    <w:rsid w:val="00787420"/>
    <w:rsid w:val="007E1F60"/>
    <w:rsid w:val="007F2C1A"/>
    <w:rsid w:val="0082028C"/>
    <w:rsid w:val="008258A4"/>
    <w:rsid w:val="0083390B"/>
    <w:rsid w:val="00841476"/>
    <w:rsid w:val="00842F84"/>
    <w:rsid w:val="008A4E08"/>
    <w:rsid w:val="008C0C87"/>
    <w:rsid w:val="00926743"/>
    <w:rsid w:val="009412A6"/>
    <w:rsid w:val="009763AE"/>
    <w:rsid w:val="00976B87"/>
    <w:rsid w:val="009775D9"/>
    <w:rsid w:val="009D2D5C"/>
    <w:rsid w:val="009E4679"/>
    <w:rsid w:val="009E60C3"/>
    <w:rsid w:val="009E6A93"/>
    <w:rsid w:val="009F1269"/>
    <w:rsid w:val="009F1C60"/>
    <w:rsid w:val="009F2F18"/>
    <w:rsid w:val="00A05F21"/>
    <w:rsid w:val="00A14F7D"/>
    <w:rsid w:val="00A36DD4"/>
    <w:rsid w:val="00A43F9F"/>
    <w:rsid w:val="00A4455C"/>
    <w:rsid w:val="00A57AF7"/>
    <w:rsid w:val="00A668B4"/>
    <w:rsid w:val="00A71542"/>
    <w:rsid w:val="00A7192F"/>
    <w:rsid w:val="00AA634F"/>
    <w:rsid w:val="00AA7B3A"/>
    <w:rsid w:val="00AE17A8"/>
    <w:rsid w:val="00B00A7E"/>
    <w:rsid w:val="00B27FAF"/>
    <w:rsid w:val="00B84EAD"/>
    <w:rsid w:val="00BB24FE"/>
    <w:rsid w:val="00BC74A0"/>
    <w:rsid w:val="00BD632A"/>
    <w:rsid w:val="00BE242C"/>
    <w:rsid w:val="00BF4FD7"/>
    <w:rsid w:val="00C07F2E"/>
    <w:rsid w:val="00C25E41"/>
    <w:rsid w:val="00C32881"/>
    <w:rsid w:val="00C43374"/>
    <w:rsid w:val="00C86F64"/>
    <w:rsid w:val="00CA6A49"/>
    <w:rsid w:val="00CC26C7"/>
    <w:rsid w:val="00CD5880"/>
    <w:rsid w:val="00CE67CB"/>
    <w:rsid w:val="00CF037D"/>
    <w:rsid w:val="00D07210"/>
    <w:rsid w:val="00D23F40"/>
    <w:rsid w:val="00D3278B"/>
    <w:rsid w:val="00D32D2A"/>
    <w:rsid w:val="00D653F0"/>
    <w:rsid w:val="00D73A7C"/>
    <w:rsid w:val="00DB202E"/>
    <w:rsid w:val="00DB5004"/>
    <w:rsid w:val="00DC42D5"/>
    <w:rsid w:val="00DD5AA0"/>
    <w:rsid w:val="00DE27F6"/>
    <w:rsid w:val="00E26192"/>
    <w:rsid w:val="00E37362"/>
    <w:rsid w:val="00E419F2"/>
    <w:rsid w:val="00E45FB9"/>
    <w:rsid w:val="00E46DAC"/>
    <w:rsid w:val="00E558C4"/>
    <w:rsid w:val="00E564EC"/>
    <w:rsid w:val="00E96AE9"/>
    <w:rsid w:val="00EA2F83"/>
    <w:rsid w:val="00EB4DAE"/>
    <w:rsid w:val="00EC7F0B"/>
    <w:rsid w:val="00ED4E1F"/>
    <w:rsid w:val="00EE404C"/>
    <w:rsid w:val="00F245C0"/>
    <w:rsid w:val="00F32006"/>
    <w:rsid w:val="00F464BD"/>
    <w:rsid w:val="00F6269E"/>
    <w:rsid w:val="00F6420E"/>
    <w:rsid w:val="00F91D5A"/>
    <w:rsid w:val="00F948B5"/>
    <w:rsid w:val="00FA19CB"/>
    <w:rsid w:val="00FB4EDA"/>
    <w:rsid w:val="00FC3210"/>
    <w:rsid w:val="00FD2217"/>
    <w:rsid w:val="00FD5DA9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E6613"/>
  <w15:docId w15:val="{8AF5C17A-FCF6-4A70-8FAD-16A8ABBF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8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rsid w:val="00664685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664685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664685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4685"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sid w:val="00664685"/>
    <w:rPr>
      <w:sz w:val="24"/>
    </w:rPr>
  </w:style>
  <w:style w:type="paragraph" w:customStyle="1" w:styleId="OutlineIndented">
    <w:name w:val="Outline (Indented)"/>
    <w:basedOn w:val="Normal"/>
    <w:rsid w:val="00664685"/>
    <w:rPr>
      <w:sz w:val="24"/>
    </w:rPr>
  </w:style>
  <w:style w:type="paragraph" w:customStyle="1" w:styleId="TableText">
    <w:name w:val="Table Text"/>
    <w:basedOn w:val="Normal"/>
    <w:rsid w:val="00664685"/>
    <w:pPr>
      <w:jc w:val="right"/>
    </w:pPr>
    <w:rPr>
      <w:sz w:val="24"/>
    </w:rPr>
  </w:style>
  <w:style w:type="paragraph" w:customStyle="1" w:styleId="NumberList">
    <w:name w:val="Number List"/>
    <w:basedOn w:val="Normal"/>
    <w:rsid w:val="00664685"/>
    <w:rPr>
      <w:sz w:val="24"/>
    </w:rPr>
  </w:style>
  <w:style w:type="paragraph" w:customStyle="1" w:styleId="FirstLineIndent">
    <w:name w:val="First Line Indent"/>
    <w:basedOn w:val="Normal"/>
    <w:rsid w:val="00664685"/>
    <w:pPr>
      <w:ind w:firstLine="720"/>
    </w:pPr>
    <w:rPr>
      <w:sz w:val="24"/>
    </w:rPr>
  </w:style>
  <w:style w:type="paragraph" w:customStyle="1" w:styleId="Bullet2">
    <w:name w:val="Bullet 2"/>
    <w:basedOn w:val="Normal"/>
    <w:rsid w:val="00664685"/>
    <w:rPr>
      <w:sz w:val="24"/>
    </w:rPr>
  </w:style>
  <w:style w:type="paragraph" w:customStyle="1" w:styleId="Bullet1">
    <w:name w:val="Bullet 1"/>
    <w:basedOn w:val="Normal"/>
    <w:rsid w:val="00664685"/>
    <w:rPr>
      <w:sz w:val="24"/>
    </w:rPr>
  </w:style>
  <w:style w:type="paragraph" w:customStyle="1" w:styleId="BodySingle">
    <w:name w:val="Body Single"/>
    <w:basedOn w:val="Normal"/>
    <w:rsid w:val="00664685"/>
    <w:rPr>
      <w:sz w:val="24"/>
    </w:rPr>
  </w:style>
  <w:style w:type="paragraph" w:customStyle="1" w:styleId="DefaultText">
    <w:name w:val="Default Text"/>
    <w:basedOn w:val="Normal"/>
    <w:rsid w:val="00664685"/>
    <w:rPr>
      <w:sz w:val="24"/>
    </w:rPr>
  </w:style>
  <w:style w:type="character" w:customStyle="1" w:styleId="InitialStyle">
    <w:name w:val="InitialStyle"/>
    <w:uiPriority w:val="99"/>
    <w:rsid w:val="00D23F40"/>
  </w:style>
  <w:style w:type="paragraph" w:styleId="BalloonText">
    <w:name w:val="Balloon Text"/>
    <w:basedOn w:val="Normal"/>
    <w:link w:val="BalloonTextChar"/>
    <w:uiPriority w:val="99"/>
    <w:semiHidden/>
    <w:unhideWhenUsed/>
    <w:rsid w:val="00A71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5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760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Kerry Beghin</cp:lastModifiedBy>
  <cp:revision>23</cp:revision>
  <cp:lastPrinted>2018-04-10T00:08:00Z</cp:lastPrinted>
  <dcterms:created xsi:type="dcterms:W3CDTF">2021-04-27T22:03:00Z</dcterms:created>
  <dcterms:modified xsi:type="dcterms:W3CDTF">2021-05-04T15:29:00Z</dcterms:modified>
</cp:coreProperties>
</file>