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E331C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E7595A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530225</wp:posOffset>
                </wp:positionV>
                <wp:extent cx="5913120" cy="45434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99" w:rsidRPr="002B369E" w:rsidRDefault="001E4083" w:rsidP="00D51C99">
                            <w:pPr>
                              <w:pStyle w:val="DefaultText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037FE6" w:rsidRPr="00037FE6">
                              <w:t>The</w:t>
                            </w:r>
                            <w:r w:rsidR="00037F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FC50B1">
                              <w:rPr>
                                <w:rStyle w:val="InitialStyle"/>
                                <w:rFonts w:ascii="Times New Roman" w:hAnsi="Times New Roman"/>
                              </w:rPr>
                              <w:t>Facilities Director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along with Building Services staff are responsible for the maint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>enance and upkeep of the county’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>s</w:t>
                            </w:r>
                            <w:r w:rsidR="00FC50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Courthouse, C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>ommunications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ystem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>s</w:t>
                            </w:r>
                            <w:r w:rsidR="00FC50B1">
                              <w:rPr>
                                <w:rStyle w:val="InitialStyle"/>
                                <w:rFonts w:ascii="Times New Roman" w:hAnsi="Times New Roman"/>
                              </w:rPr>
                              <w:t>, H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>uman Services-Reedsburg</w:t>
                            </w:r>
                            <w:r w:rsidR="00FC50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, Law Enforcement Center, and West Square Admin 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>facilities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>With the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>equipment and facilities</w:t>
                            </w:r>
                            <w:r w:rsidR="00FC50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located 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>throughout</w:t>
                            </w:r>
                            <w:r w:rsidR="00FC50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county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Facilities Director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is required to respond to building a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>nd communication system issue at all times of the day, along with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attend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>ing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meetings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assist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>ing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at other county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facilities</w:t>
                            </w:r>
                            <w:r w:rsidR="005E331C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E85A8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562E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85A83">
                              <w:rPr>
                                <w:rStyle w:val="InitialStyle"/>
                                <w:rFonts w:ascii="Times New Roman" w:hAnsi="Times New Roman"/>
                              </w:rPr>
                              <w:t>The</w:t>
                            </w:r>
                            <w:r w:rsidR="006A1B3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Facilities Director</w:t>
                            </w:r>
                            <w:r w:rsidR="00E85A8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current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ly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drives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 2013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Ford Explorer</w:t>
                            </w:r>
                            <w:r w:rsidR="000D056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Police Interceptor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that was originally a part of the Sheriff’s department fleet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Building Services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purc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>hased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Explorer</w:t>
                            </w:r>
                            <w:r w:rsidR="002877B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Police Interceptor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used from the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Sheriff’s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department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in 2017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to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assist the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Facilities Director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>with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his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duties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throughout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county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 The Explorer currently has approximately </w:t>
                            </w:r>
                            <w:r w:rsidR="002877B6">
                              <w:rPr>
                                <w:rStyle w:val="InitialStyle"/>
                                <w:rFonts w:ascii="Times New Roman" w:hAnsi="Times New Roman"/>
                              </w:rPr>
                              <w:t>124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,000 miles on it. 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Explorer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has been 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dependable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vehicle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however </w:t>
                            </w:r>
                            <w:r w:rsidR="000D0564">
                              <w:rPr>
                                <w:rStyle w:val="InitialStyle"/>
                                <w:rFonts w:ascii="Times New Roman" w:hAnsi="Times New Roman"/>
                              </w:rPr>
                              <w:t>with the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assigned duties,</w:t>
                            </w:r>
                            <w:r w:rsidR="000D056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amount of equipment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carried</w:t>
                            </w:r>
                            <w:r w:rsidR="000D0564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and 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>other responsibilities</w:t>
                            </w:r>
                            <w:r w:rsidR="00122B09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 upgrade to a ¾ ton truck is needed.  The</w:t>
                            </w:r>
                            <w:r w:rsidR="0062406F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upgrade will also build in snow plowing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redundancy should one of the departments plow trucks </w:t>
                            </w:r>
                            <w:r w:rsidR="0062406F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need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repair.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Explorer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is 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also 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>starting to require more maintenance</w:t>
                            </w:r>
                            <w:r w:rsidR="00DE0AE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attention</w:t>
                            </w:r>
                            <w:r w:rsidR="006A1B3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due to the number of miles on the vehicle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 The Facilities Director originally p</w:t>
                            </w:r>
                            <w:r w:rsidR="004C07E3">
                              <w:rPr>
                                <w:rStyle w:val="InitialStyle"/>
                                <w:rFonts w:ascii="Times New Roman" w:hAnsi="Times New Roman"/>
                              </w:rPr>
                              <w:t>lanned to replace the vehicle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in the 2021 Building Services budget.  The funds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for the vehicle</w:t>
                            </w:r>
                            <w:r w:rsidR="00376085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upgrade were removed from the 2021 budget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due to the COVID-19 Pandemic.  Due to t</w:t>
                            </w:r>
                            <w:r w:rsidR="00376085">
                              <w:rPr>
                                <w:rStyle w:val="InitialStyle"/>
                                <w:rFonts w:ascii="Times New Roman" w:hAnsi="Times New Roman"/>
                              </w:rPr>
                              <w:t>he p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andemic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other </w:t>
                            </w:r>
                            <w:r w:rsidR="00376085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Building related 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>projects were not able to be completed</w:t>
                            </w:r>
                            <w:r w:rsidR="00376085">
                              <w:rPr>
                                <w:rStyle w:val="InitialStyle"/>
                                <w:rFonts w:ascii="Times New Roman" w:hAnsi="Times New Roman"/>
                              </w:rPr>
                              <w:t>, making the funds needed for the vehicle upgrade available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in the current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budget</w:t>
                            </w:r>
                            <w:r w:rsidR="00E825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A discussion between 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</w:rPr>
                              <w:t>Interim Admin Coordinator Bretl and Finance Director Beghin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22B09">
                              <w:rPr>
                                <w:rStyle w:val="InitialStyle"/>
                                <w:rFonts w:ascii="Times New Roman" w:hAnsi="Times New Roman"/>
                              </w:rPr>
                              <w:t>regarding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replacement of </w:t>
                            </w:r>
                            <w:r w:rsidR="00122B09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vehicle</w:t>
                            </w:r>
                            <w:r w:rsidR="00BC29B1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took place d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>uring the budget process.</w:t>
                            </w:r>
                            <w:r w:rsidR="004C07E3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Both supported </w:t>
                            </w:r>
                            <w:r w:rsidR="004C07E3">
                              <w:rPr>
                                <w:rStyle w:val="InitialStyle"/>
                                <w:rFonts w:ascii="Times New Roman" w:hAnsi="Times New Roman"/>
                              </w:rPr>
                              <w:t>replac</w:t>
                            </w:r>
                            <w:r w:rsidR="00E7595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ing </w:t>
                            </w:r>
                            <w:r w:rsidR="00122B0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vehicle 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in 2020 as long as funds were available in the Building Services </w:t>
                            </w:r>
                            <w:r w:rsidR="004C07E3">
                              <w:rPr>
                                <w:rStyle w:val="InitialStyle"/>
                                <w:rFonts w:ascii="Times New Roman" w:hAnsi="Times New Roman"/>
                              </w:rPr>
                              <w:t>b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</w:rPr>
                              <w:t>udget.</w:t>
                            </w:r>
                            <w:r w:rsidR="002B369E" w:rsidRPr="002B369E">
                              <w:rPr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The Facilities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Directo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r obtained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state bid pricing for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81376A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¾-ton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truck</w:t>
                            </w:r>
                            <w:r w:rsidR="00D01EB5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,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and the 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truck that met the 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needs of the</w:t>
                            </w:r>
                            <w:r w:rsidR="005303C4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department and</w:t>
                            </w:r>
                            <w:r w:rsidR="00B865E7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Facilities Director is a 2021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</w:t>
                            </w:r>
                            <w:r w:rsid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Chevy</w:t>
                            </w:r>
                            <w:r w:rsidR="009B4328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Silverado HD</w:t>
                            </w:r>
                            <w:r w:rsidR="0081376A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2500</w:t>
                            </w:r>
                            <w:r w:rsidR="00DB6F1B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Crew Cab</w:t>
                            </w:r>
                            <w:r w:rsidR="00A060FB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4X4</w:t>
                            </w:r>
                            <w:r w:rsidR="00DB6F1B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Work Truck</w:t>
                            </w:r>
                            <w:r w:rsidR="002B369E" w:rsidRPr="002B369E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from </w:t>
                            </w:r>
                            <w:r w:rsidR="00DB6F1B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Ewald Automotive Group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 xml:space="preserve"> at a cost of $</w:t>
                            </w:r>
                            <w:r w:rsidR="00DB6F1B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33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  <w:highlight w:val="white"/>
                              </w:rPr>
                              <w:t>,</w:t>
                            </w:r>
                            <w:r w:rsidR="00A55A0F">
                              <w:rPr>
                                <w:rStyle w:val="InitialStyle"/>
                                <w:rFonts w:ascii="Times New Roman" w:hAnsi="Times New Roman"/>
                              </w:rPr>
                              <w:t>741</w:t>
                            </w:r>
                            <w:r w:rsidR="00A060FB">
                              <w:rPr>
                                <w:rStyle w:val="InitialStyle"/>
                                <w:rFonts w:ascii="Times New Roman" w:hAnsi="Times New Roman"/>
                              </w:rPr>
                              <w:t>.50</w:t>
                            </w:r>
                            <w:r w:rsidR="00D51C99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</w:t>
                            </w:r>
                          </w:p>
                          <w:p w:rsidR="001E4083" w:rsidRPr="002B369E" w:rsidRDefault="001E4083" w:rsidP="009054F0">
                            <w:pPr>
                              <w:pStyle w:val="Default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41.75pt;width:465.6pt;height:35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">
                <v:textbox>
                  <w:txbxContent>
                    <w:p w:rsidR="00D51C99" w:rsidRPr="002B369E" w:rsidRDefault="001E4083" w:rsidP="00D51C99">
                      <w:pPr>
                        <w:pStyle w:val="DefaultText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037FE6" w:rsidRPr="00037FE6">
                        <w:t>The</w:t>
                      </w:r>
                      <w:r w:rsidR="00037FE6">
                        <w:rPr>
                          <w:b/>
                          <w:i/>
                        </w:rPr>
                        <w:t xml:space="preserve"> </w:t>
                      </w:r>
                      <w:r w:rsidR="00FC50B1">
                        <w:rPr>
                          <w:rStyle w:val="InitialStyle"/>
                          <w:rFonts w:ascii="Times New Roman" w:hAnsi="Times New Roman"/>
                        </w:rPr>
                        <w:t>Facilities Director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along with Building Services staff are responsible for the maint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>enance and upkeep of the county’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>s</w:t>
                      </w:r>
                      <w:r w:rsidR="00FC50B1">
                        <w:rPr>
                          <w:rStyle w:val="InitialStyle"/>
                          <w:rFonts w:ascii="Times New Roman" w:hAnsi="Times New Roman"/>
                        </w:rPr>
                        <w:t xml:space="preserve"> Courthouse, C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>ommunications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 S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ystem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>s</w:t>
                      </w:r>
                      <w:r w:rsidR="00FC50B1">
                        <w:rPr>
                          <w:rStyle w:val="InitialStyle"/>
                          <w:rFonts w:ascii="Times New Roman" w:hAnsi="Times New Roman"/>
                        </w:rPr>
                        <w:t>, H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>uman Services-Reedsburg</w:t>
                      </w:r>
                      <w:r w:rsidR="00FC50B1">
                        <w:rPr>
                          <w:rStyle w:val="InitialStyle"/>
                          <w:rFonts w:ascii="Times New Roman" w:hAnsi="Times New Roman"/>
                        </w:rPr>
                        <w:t xml:space="preserve">, Law Enforcement Center, and West Square Admin 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>facilities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.  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>With the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>equipment and facilities</w:t>
                      </w:r>
                      <w:r w:rsidR="00FC50B1">
                        <w:rPr>
                          <w:rStyle w:val="InitialStyle"/>
                          <w:rFonts w:ascii="Times New Roman" w:hAnsi="Times New Roman"/>
                        </w:rPr>
                        <w:t xml:space="preserve"> located 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>throughout</w:t>
                      </w:r>
                      <w:r w:rsidR="00FC50B1">
                        <w:rPr>
                          <w:rStyle w:val="InitialStyle"/>
                          <w:rFonts w:ascii="Times New Roman" w:hAnsi="Times New Roman"/>
                        </w:rPr>
                        <w:t xml:space="preserve"> the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county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the Facilities Director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is required to respond to building a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>nd communication system issue at all times of the day, along with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attend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>ing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meetings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and assist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>ing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at other county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 xml:space="preserve"> facilities</w:t>
                      </w:r>
                      <w:r w:rsidR="005E331C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E85A83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4562EC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85A83">
                        <w:rPr>
                          <w:rStyle w:val="InitialStyle"/>
                          <w:rFonts w:ascii="Times New Roman" w:hAnsi="Times New Roman"/>
                        </w:rPr>
                        <w:t>The</w:t>
                      </w:r>
                      <w:r w:rsidR="006A1B30">
                        <w:rPr>
                          <w:b/>
                          <w:i/>
                        </w:rPr>
                        <w:t xml:space="preserve">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Facilities Director</w:t>
                      </w:r>
                      <w:r w:rsidR="00E85A83">
                        <w:rPr>
                          <w:rStyle w:val="InitialStyle"/>
                          <w:rFonts w:ascii="Times New Roman" w:hAnsi="Times New Roman"/>
                        </w:rPr>
                        <w:t xml:space="preserve"> current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ly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drives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a 2013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Ford Explorer</w:t>
                      </w:r>
                      <w:r w:rsidR="000D0564">
                        <w:rPr>
                          <w:rStyle w:val="InitialStyle"/>
                          <w:rFonts w:ascii="Times New Roman" w:hAnsi="Times New Roman"/>
                        </w:rPr>
                        <w:t xml:space="preserve"> Police Interceptor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that was originally a part of the Sheriff’s department fleet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. 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Building Services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purc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>hased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the Explorer</w:t>
                      </w:r>
                      <w:r w:rsidR="002877B6">
                        <w:rPr>
                          <w:rStyle w:val="InitialStyle"/>
                          <w:rFonts w:ascii="Times New Roman" w:hAnsi="Times New Roman"/>
                        </w:rPr>
                        <w:t xml:space="preserve"> Police Interceptor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used from the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Sheriff’s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department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 xml:space="preserve"> in 2017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 xml:space="preserve"> to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assist the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Facilities Director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>with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his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 xml:space="preserve">duties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throughout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</w:rPr>
                        <w:t>the county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  The Explorer currently has approximately </w:t>
                      </w:r>
                      <w:r w:rsidR="002877B6">
                        <w:rPr>
                          <w:rStyle w:val="InitialStyle"/>
                          <w:rFonts w:ascii="Times New Roman" w:hAnsi="Times New Roman"/>
                        </w:rPr>
                        <w:t>124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,000 miles on it. 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The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Explorer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has been 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</w:rPr>
                        <w:t xml:space="preserve">a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dependable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vehicle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, 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however </w:t>
                      </w:r>
                      <w:r w:rsidR="000D0564">
                        <w:rPr>
                          <w:rStyle w:val="InitialStyle"/>
                          <w:rFonts w:ascii="Times New Roman" w:hAnsi="Times New Roman"/>
                        </w:rPr>
                        <w:t>with the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assigned duties,</w:t>
                      </w:r>
                      <w:r w:rsidR="000D0564">
                        <w:rPr>
                          <w:rStyle w:val="InitialStyle"/>
                          <w:rFonts w:ascii="Times New Roman" w:hAnsi="Times New Roman"/>
                        </w:rPr>
                        <w:t xml:space="preserve"> amount of equipment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carried</w:t>
                      </w:r>
                      <w:r w:rsidR="000D0564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and 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>other responsibilities</w:t>
                      </w:r>
                      <w:r w:rsidR="00122B09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an upgrade to a ¾ ton truck is needed.  The</w:t>
                      </w:r>
                      <w:r w:rsidR="0062406F">
                        <w:rPr>
                          <w:rStyle w:val="InitialStyle"/>
                          <w:rFonts w:ascii="Times New Roman" w:hAnsi="Times New Roman"/>
                        </w:rPr>
                        <w:t xml:space="preserve"> upgrade will also build in snow plowing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redundancy should one of the departments plow trucks </w:t>
                      </w:r>
                      <w:r w:rsidR="0062406F">
                        <w:rPr>
                          <w:rStyle w:val="InitialStyle"/>
                          <w:rFonts w:ascii="Times New Roman" w:hAnsi="Times New Roman"/>
                        </w:rPr>
                        <w:t xml:space="preserve">need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repair.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The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Explorer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is 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also 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>starting to require more maintenance</w:t>
                      </w:r>
                      <w:r w:rsidR="00DE0AEB">
                        <w:rPr>
                          <w:rStyle w:val="InitialStyle"/>
                          <w:rFonts w:ascii="Times New Roman" w:hAnsi="Times New Roman"/>
                        </w:rPr>
                        <w:t xml:space="preserve"> and attention</w:t>
                      </w:r>
                      <w:r w:rsidR="006A1B30">
                        <w:rPr>
                          <w:rStyle w:val="InitialStyle"/>
                          <w:rFonts w:ascii="Times New Roman" w:hAnsi="Times New Roman"/>
                        </w:rPr>
                        <w:t xml:space="preserve"> due to the number of miles on the vehicle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 The Facilities Director originally p</w:t>
                      </w:r>
                      <w:r w:rsidR="004C07E3">
                        <w:rPr>
                          <w:rStyle w:val="InitialStyle"/>
                          <w:rFonts w:ascii="Times New Roman" w:hAnsi="Times New Roman"/>
                        </w:rPr>
                        <w:t>lanned to replace the vehicle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in the 2021 Building Services budget.  The funds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 for the vehicle</w:t>
                      </w:r>
                      <w:r w:rsidR="00376085">
                        <w:rPr>
                          <w:rStyle w:val="InitialStyle"/>
                          <w:rFonts w:ascii="Times New Roman" w:hAnsi="Times New Roman"/>
                        </w:rPr>
                        <w:t xml:space="preserve"> upgrade were removed from the 2021 budget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due to the COVID-19 Pandemic.  Due to t</w:t>
                      </w:r>
                      <w:r w:rsidR="00376085">
                        <w:rPr>
                          <w:rStyle w:val="InitialStyle"/>
                          <w:rFonts w:ascii="Times New Roman" w:hAnsi="Times New Roman"/>
                        </w:rPr>
                        <w:t>he p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andemic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 other </w:t>
                      </w:r>
                      <w:r w:rsidR="00376085">
                        <w:rPr>
                          <w:rStyle w:val="InitialStyle"/>
                          <w:rFonts w:ascii="Times New Roman" w:hAnsi="Times New Roman"/>
                        </w:rPr>
                        <w:t xml:space="preserve">Building related 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>projects were not able to be completed</w:t>
                      </w:r>
                      <w:r w:rsidR="00376085">
                        <w:rPr>
                          <w:rStyle w:val="InitialStyle"/>
                          <w:rFonts w:ascii="Times New Roman" w:hAnsi="Times New Roman"/>
                        </w:rPr>
                        <w:t>, making the funds needed for the vehicle upgrade available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 in the current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 budget</w:t>
                      </w:r>
                      <w:r w:rsidR="00E82582">
                        <w:rPr>
                          <w:rStyle w:val="InitialStyle"/>
                          <w:rFonts w:ascii="Times New Roman" w:hAnsi="Times New Roman"/>
                        </w:rPr>
                        <w:t xml:space="preserve">.  A discussion between 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</w:rPr>
                        <w:t>Interim Admin Coordinator Bretl and Finance Director Beghin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122B09">
                        <w:rPr>
                          <w:rStyle w:val="InitialStyle"/>
                          <w:rFonts w:ascii="Times New Roman" w:hAnsi="Times New Roman"/>
                        </w:rPr>
                        <w:t>regarding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 xml:space="preserve"> the 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replacement of </w:t>
                      </w:r>
                      <w:r w:rsidR="00122B09">
                        <w:rPr>
                          <w:rStyle w:val="InitialStyle"/>
                          <w:rFonts w:ascii="Times New Roman" w:hAnsi="Times New Roman"/>
                        </w:rPr>
                        <w:t>the vehicle</w:t>
                      </w:r>
                      <w:r w:rsidR="00BC29B1">
                        <w:rPr>
                          <w:rStyle w:val="InitialStyle"/>
                          <w:rFonts w:ascii="Times New Roman" w:hAnsi="Times New Roman"/>
                        </w:rPr>
                        <w:t xml:space="preserve"> took place d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>uring the budget process.</w:t>
                      </w:r>
                      <w:r w:rsidR="004C07E3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Both supported </w:t>
                      </w:r>
                      <w:r w:rsidR="004C07E3">
                        <w:rPr>
                          <w:rStyle w:val="InitialStyle"/>
                          <w:rFonts w:ascii="Times New Roman" w:hAnsi="Times New Roman"/>
                        </w:rPr>
                        <w:t>replac</w:t>
                      </w:r>
                      <w:r w:rsidR="00E7595A">
                        <w:rPr>
                          <w:rStyle w:val="InitialStyle"/>
                          <w:rFonts w:ascii="Times New Roman" w:hAnsi="Times New Roman"/>
                        </w:rPr>
                        <w:t xml:space="preserve">ing </w:t>
                      </w:r>
                      <w:r w:rsidR="00122B09">
                        <w:rPr>
                          <w:rStyle w:val="InitialStyle"/>
                          <w:rFonts w:ascii="Times New Roman" w:hAnsi="Times New Roman"/>
                        </w:rPr>
                        <w:t xml:space="preserve">the vehicle 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</w:rPr>
                        <w:t xml:space="preserve">in 2020 as long as funds were available in the Building Services </w:t>
                      </w:r>
                      <w:r w:rsidR="004C07E3">
                        <w:rPr>
                          <w:rStyle w:val="InitialStyle"/>
                          <w:rFonts w:ascii="Times New Roman" w:hAnsi="Times New Roman"/>
                        </w:rPr>
                        <w:t>b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</w:rPr>
                        <w:t>udget.</w:t>
                      </w:r>
                      <w:r w:rsidR="002B369E" w:rsidRPr="002B369E">
                        <w:rPr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The Facilities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Directo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r obtained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state bid pricing for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81376A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¾-ton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truck</w:t>
                      </w:r>
                      <w:r w:rsidR="00D01EB5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,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and the 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truck that met the 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needs of the</w:t>
                      </w:r>
                      <w:r w:rsidR="005303C4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department and</w:t>
                      </w:r>
                      <w:r w:rsidR="00B865E7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Facilities Director is a 2021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</w:t>
                      </w:r>
                      <w:r w:rsid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Chevy</w:t>
                      </w:r>
                      <w:r w:rsidR="009B4328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Silverado HD</w:t>
                      </w:r>
                      <w:r w:rsidR="0081376A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2500</w:t>
                      </w:r>
                      <w:r w:rsidR="00DB6F1B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Crew Cab</w:t>
                      </w:r>
                      <w:r w:rsidR="00A060FB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4X4</w:t>
                      </w:r>
                      <w:r w:rsidR="00DB6F1B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Work Truck</w:t>
                      </w:r>
                      <w:r w:rsidR="002B369E" w:rsidRPr="002B369E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from </w:t>
                      </w:r>
                      <w:r w:rsidR="00DB6F1B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Ewald Automotive Group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 xml:space="preserve"> at a cost of $</w:t>
                      </w:r>
                      <w:r w:rsidR="00DB6F1B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33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  <w:highlight w:val="white"/>
                        </w:rPr>
                        <w:t>,</w:t>
                      </w:r>
                      <w:r w:rsidR="00A55A0F">
                        <w:rPr>
                          <w:rStyle w:val="InitialStyle"/>
                          <w:rFonts w:ascii="Times New Roman" w:hAnsi="Times New Roman"/>
                        </w:rPr>
                        <w:t>741</w:t>
                      </w:r>
                      <w:r w:rsidR="00A060FB">
                        <w:rPr>
                          <w:rStyle w:val="InitialStyle"/>
                          <w:rFonts w:ascii="Times New Roman" w:hAnsi="Times New Roman"/>
                        </w:rPr>
                        <w:t>.50</w:t>
                      </w:r>
                      <w:r w:rsidR="00D51C99">
                        <w:rPr>
                          <w:rStyle w:val="InitialStyle"/>
                          <w:rFonts w:ascii="Times New Roman" w:hAnsi="Times New Roman"/>
                        </w:rPr>
                        <w:t xml:space="preserve">.  </w:t>
                      </w:r>
                    </w:p>
                    <w:p w:rsidR="001E4083" w:rsidRPr="002B369E" w:rsidRDefault="001E4083" w:rsidP="009054F0">
                      <w:pPr>
                        <w:pStyle w:val="Default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2B0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5061585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DB6F1B">
                              <w:rPr>
                                <w:b/>
                              </w:rPr>
                              <w:t xml:space="preserve"> 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</w:t>
                            </w:r>
                            <w:r w:rsidR="00DB6F1B">
                              <w:rPr>
                                <w:b/>
                              </w:rPr>
                              <w:t>X</w:t>
                            </w:r>
                            <w:r w:rsidR="000765C0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pt;margin-top:398.55pt;width:465.6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DB6F1B">
                        <w:rPr>
                          <w:b/>
                        </w:rPr>
                        <w:t xml:space="preserve"> 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</w:t>
                      </w:r>
                      <w:r w:rsidR="00DB6F1B">
                        <w:rPr>
                          <w:b/>
                        </w:rPr>
                        <w:t>X</w:t>
                      </w:r>
                      <w:r w:rsidR="000765C0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</w:t>
      </w:r>
      <w:r w:rsidR="007449F5">
        <w:rPr>
          <w:rStyle w:val="InitialStyle"/>
          <w:rFonts w:ascii="Times New Roman" w:hAnsi="Times New Roman"/>
          <w:b/>
        </w:rPr>
        <w:t>PURCHASE ONE 2021</w:t>
      </w:r>
      <w:r w:rsidR="005E331C">
        <w:rPr>
          <w:rStyle w:val="InitialStyle"/>
          <w:rFonts w:ascii="Times New Roman" w:hAnsi="Times New Roman"/>
          <w:b/>
        </w:rPr>
        <w:t xml:space="preserve"> 2500 CHEVY </w:t>
      </w:r>
      <w:r w:rsidR="007449F5">
        <w:rPr>
          <w:rStyle w:val="InitialStyle"/>
          <w:rFonts w:ascii="Times New Roman" w:hAnsi="Times New Roman"/>
          <w:b/>
        </w:rPr>
        <w:t>SILVERADO CREW CAB</w:t>
      </w:r>
      <w:r w:rsidR="00DB6F1B">
        <w:rPr>
          <w:rStyle w:val="InitialStyle"/>
          <w:rFonts w:ascii="Times New Roman" w:hAnsi="Times New Roman"/>
          <w:b/>
        </w:rPr>
        <w:t xml:space="preserve"> TRUCK</w:t>
      </w:r>
      <w:r w:rsidR="007449F5">
        <w:rPr>
          <w:rStyle w:val="InitialStyle"/>
          <w:rFonts w:ascii="Times New Roman" w:hAnsi="Times New Roman"/>
          <w:b/>
        </w:rPr>
        <w:t xml:space="preserve"> </w:t>
      </w:r>
      <w:r w:rsidR="005E331C">
        <w:rPr>
          <w:rStyle w:val="InitialStyle"/>
          <w:rFonts w:ascii="Times New Roman" w:hAnsi="Times New Roman"/>
          <w:b/>
        </w:rPr>
        <w:t xml:space="preserve">FOR THE </w:t>
      </w:r>
      <w:r w:rsidR="007449F5">
        <w:rPr>
          <w:rStyle w:val="InitialStyle"/>
          <w:rFonts w:ascii="Times New Roman" w:hAnsi="Times New Roman"/>
          <w:b/>
        </w:rPr>
        <w:t>FACILITIES DIRECTOR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</w:t>
      </w:r>
      <w:r w:rsidR="00D9467F">
        <w:rPr>
          <w:rStyle w:val="InitialStyle"/>
          <w:rFonts w:ascii="Times New Roman" w:hAnsi="Times New Roman"/>
        </w:rPr>
        <w:t xml:space="preserve"> and</w:t>
      </w:r>
      <w:r w:rsidRPr="009054F0">
        <w:rPr>
          <w:rStyle w:val="InitialStyle"/>
          <w:rFonts w:ascii="Times New Roman" w:hAnsi="Times New Roman"/>
        </w:rPr>
        <w:t xml:space="preserve">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</w:t>
      </w:r>
      <w:r w:rsidR="00116FF9">
        <w:rPr>
          <w:rStyle w:val="InitialStyle"/>
          <w:rFonts w:ascii="Times New Roman" w:hAnsi="Times New Roman"/>
        </w:rPr>
        <w:t xml:space="preserve">purchase a </w:t>
      </w:r>
      <w:r w:rsidR="00DB6F1B">
        <w:rPr>
          <w:rStyle w:val="InitialStyle"/>
          <w:rFonts w:ascii="Times New Roman" w:hAnsi="Times New Roman"/>
          <w:highlight w:val="white"/>
        </w:rPr>
        <w:t>2021</w:t>
      </w:r>
      <w:r w:rsidR="00DB6F1B" w:rsidRPr="002B369E">
        <w:rPr>
          <w:rStyle w:val="InitialStyle"/>
          <w:rFonts w:ascii="Times New Roman" w:hAnsi="Times New Roman"/>
          <w:highlight w:val="white"/>
        </w:rPr>
        <w:t xml:space="preserve"> </w:t>
      </w:r>
      <w:r w:rsidR="00DB6F1B">
        <w:rPr>
          <w:rStyle w:val="InitialStyle"/>
          <w:rFonts w:ascii="Times New Roman" w:hAnsi="Times New Roman"/>
          <w:highlight w:val="white"/>
        </w:rPr>
        <w:t>Chevy Silverado HD 2500 Crew Cab</w:t>
      </w:r>
      <w:r w:rsidR="00A060FB">
        <w:rPr>
          <w:rStyle w:val="InitialStyle"/>
          <w:rFonts w:ascii="Times New Roman" w:hAnsi="Times New Roman"/>
          <w:highlight w:val="white"/>
        </w:rPr>
        <w:t xml:space="preserve"> 4X4</w:t>
      </w:r>
      <w:r w:rsidR="00DB6F1B">
        <w:rPr>
          <w:rStyle w:val="InitialStyle"/>
          <w:rFonts w:ascii="Times New Roman" w:hAnsi="Times New Roman"/>
          <w:highlight w:val="white"/>
        </w:rPr>
        <w:t xml:space="preserve"> Work Truck</w:t>
      </w:r>
      <w:r w:rsidR="00DB6F1B" w:rsidRPr="002B369E">
        <w:rPr>
          <w:rStyle w:val="InitialStyle"/>
          <w:rFonts w:ascii="Times New Roman" w:hAnsi="Times New Roman"/>
          <w:highlight w:val="white"/>
        </w:rPr>
        <w:t xml:space="preserve"> from </w:t>
      </w:r>
      <w:r w:rsidR="00DB6F1B">
        <w:rPr>
          <w:rStyle w:val="InitialStyle"/>
          <w:rFonts w:ascii="Times New Roman" w:hAnsi="Times New Roman"/>
          <w:highlight w:val="white"/>
        </w:rPr>
        <w:t>Ewald Automotive Group at a cost of $33,</w:t>
      </w:r>
      <w:r w:rsidR="00A55A0F">
        <w:rPr>
          <w:rStyle w:val="InitialStyle"/>
          <w:rFonts w:ascii="Times New Roman" w:hAnsi="Times New Roman"/>
        </w:rPr>
        <w:t>741</w:t>
      </w:r>
      <w:r w:rsidR="00A060FB">
        <w:rPr>
          <w:rStyle w:val="InitialStyle"/>
          <w:rFonts w:ascii="Times New Roman" w:hAnsi="Times New Roman"/>
        </w:rPr>
        <w:t>.50</w:t>
      </w:r>
      <w:r w:rsidR="009C3F26">
        <w:rPr>
          <w:rStyle w:val="InitialStyle"/>
          <w:rFonts w:ascii="Times New Roman" w:hAnsi="Times New Roman"/>
        </w:rPr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DB6F1B">
        <w:rPr>
          <w:rStyle w:val="InitialStyle"/>
          <w:rFonts w:ascii="Times New Roman" w:hAnsi="Times New Roman"/>
        </w:rPr>
        <w:t>December</w:t>
      </w:r>
      <w:r w:rsidR="000013ED">
        <w:rPr>
          <w:rStyle w:val="InitialStyle"/>
          <w:rFonts w:ascii="Times New Roman" w:hAnsi="Times New Roman"/>
        </w:rPr>
        <w:t xml:space="preserve"> </w:t>
      </w:r>
      <w:r w:rsidR="00DB6F1B">
        <w:rPr>
          <w:rStyle w:val="InitialStyle"/>
          <w:rFonts w:ascii="Times New Roman" w:hAnsi="Times New Roman"/>
        </w:rPr>
        <w:t>15</w:t>
      </w:r>
      <w:r w:rsidR="000013ED">
        <w:rPr>
          <w:rStyle w:val="InitialStyle"/>
          <w:rFonts w:ascii="Times New Roman" w:hAnsi="Times New Roman"/>
        </w:rPr>
        <w:t>, 2020</w:t>
      </w:r>
      <w:r w:rsidRPr="009054F0">
        <w:rPr>
          <w:rStyle w:val="InitialStyle"/>
          <w:rFonts w:ascii="Times New Roman" w:hAnsi="Times New Roman"/>
        </w:rPr>
        <w:t>.</w:t>
      </w: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62406F" w:rsidRDefault="0062406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5303C4" w:rsidRDefault="005303C4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4C07E3" w:rsidRDefault="004C07E3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4C07E3" w:rsidRDefault="004C07E3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4C07E3" w:rsidRDefault="004C07E3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4C07E3" w:rsidRDefault="004C07E3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4C07E3" w:rsidRDefault="004C07E3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4C07E3" w:rsidRDefault="004C07E3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62406F" w:rsidRDefault="0062406F" w:rsidP="000013ED">
      <w:pPr>
        <w:pStyle w:val="DefaultText"/>
        <w:rPr>
          <w:rStyle w:val="InitialStyle"/>
          <w:rFonts w:ascii="Times New Roman" w:hAnsi="Times New Roman"/>
        </w:rPr>
      </w:pPr>
    </w:p>
    <w:p w:rsidR="004C07E3" w:rsidRDefault="004C07E3" w:rsidP="000013ED">
      <w:pPr>
        <w:pStyle w:val="DefaultText"/>
        <w:rPr>
          <w:b/>
          <w:bCs/>
          <w:caps/>
          <w:sz w:val="22"/>
          <w:szCs w:val="22"/>
        </w:rPr>
      </w:pPr>
    </w:p>
    <w:p w:rsidR="0062406F" w:rsidRDefault="0062406F" w:rsidP="000013ED">
      <w:pPr>
        <w:pStyle w:val="DefaultText"/>
        <w:rPr>
          <w:b/>
          <w:bCs/>
          <w:caps/>
          <w:sz w:val="22"/>
          <w:szCs w:val="22"/>
        </w:rPr>
      </w:pPr>
    </w:p>
    <w:p w:rsidR="0062406F" w:rsidRDefault="0062406F" w:rsidP="0062406F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PAGE 2</w:t>
      </w:r>
    </w:p>
    <w:p w:rsidR="0062406F" w:rsidRDefault="0062406F" w:rsidP="0062406F">
      <w:pPr>
        <w:pStyle w:val="DefaultText"/>
        <w:rPr>
          <w:b/>
          <w:sz w:val="22"/>
          <w:szCs w:val="22"/>
        </w:rPr>
      </w:pPr>
    </w:p>
    <w:p w:rsidR="0062406F" w:rsidRPr="00102C19" w:rsidRDefault="0062406F" w:rsidP="0062406F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RESOLUTION NO. _____ - 2020</w:t>
      </w:r>
    </w:p>
    <w:p w:rsidR="0062406F" w:rsidRDefault="0062406F" w:rsidP="0062406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62406F" w:rsidRPr="00EB24F9" w:rsidRDefault="0062406F" w:rsidP="0062406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EB24F9">
        <w:rPr>
          <w:rStyle w:val="InitialStyle"/>
          <w:rFonts w:ascii="Times New Roman" w:hAnsi="Times New Roman"/>
          <w:b/>
          <w:sz w:val="22"/>
          <w:szCs w:val="22"/>
        </w:rPr>
        <w:t xml:space="preserve">AUTHORIZATION TO PURCHASE ONE </w:t>
      </w:r>
      <w:r>
        <w:rPr>
          <w:rStyle w:val="InitialStyle"/>
          <w:rFonts w:ascii="Times New Roman" w:hAnsi="Times New Roman"/>
          <w:b/>
        </w:rPr>
        <w:t>2021 2500 CHEVY SILVERADO CREW CAB TRUCK FOR THE FACILITIES DIRECTOR</w:t>
      </w:r>
    </w:p>
    <w:p w:rsidR="0062406F" w:rsidRDefault="0062406F" w:rsidP="000013ED">
      <w:pPr>
        <w:pStyle w:val="DefaultText"/>
        <w:rPr>
          <w:b/>
          <w:bCs/>
          <w:caps/>
          <w:sz w:val="22"/>
          <w:szCs w:val="22"/>
        </w:rPr>
      </w:pPr>
    </w:p>
    <w:p w:rsidR="004C07E3" w:rsidRDefault="004C07E3" w:rsidP="004C07E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4C07E3" w:rsidRDefault="004C07E3" w:rsidP="000013ED">
      <w:pPr>
        <w:pStyle w:val="DefaultText"/>
        <w:rPr>
          <w:b/>
          <w:bCs/>
          <w:caps/>
          <w:sz w:val="22"/>
          <w:szCs w:val="22"/>
        </w:rPr>
      </w:pPr>
    </w:p>
    <w:p w:rsidR="0062406F" w:rsidRDefault="0062406F" w:rsidP="000013ED">
      <w:pPr>
        <w:pStyle w:val="DefaultText"/>
        <w:rPr>
          <w:b/>
          <w:bCs/>
          <w:caps/>
          <w:sz w:val="22"/>
          <w:szCs w:val="22"/>
        </w:rPr>
      </w:pPr>
    </w:p>
    <w:p w:rsidR="000013ED" w:rsidRPr="009054F0" w:rsidRDefault="000013ED" w:rsidP="000013ED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0013ED" w:rsidRPr="009054F0" w:rsidTr="00B50D0A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62406F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  <w:r w:rsidR="000013ED" w:rsidRPr="009054F0">
              <w:rPr>
                <w:sz w:val="22"/>
                <w:szCs w:val="22"/>
              </w:rPr>
              <w:t>,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62406F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Smooth Detter</w:t>
            </w:r>
          </w:p>
        </w:tc>
      </w:tr>
      <w:tr w:rsidR="000013ED" w:rsidRPr="009054F0" w:rsidTr="00B50D0A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Pr="009054F0" w:rsidRDefault="0062406F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Joel Chrisler</w:t>
            </w:r>
          </w:p>
        </w:tc>
      </w:tr>
      <w:tr w:rsidR="000013ED" w:rsidRPr="009054F0" w:rsidTr="00B50D0A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0013ED" w:rsidRDefault="0062406F" w:rsidP="00B50D0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Schell</w:t>
            </w:r>
          </w:p>
          <w:p w:rsidR="000013ED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0013ED" w:rsidRPr="009054F0" w:rsidRDefault="000013ED" w:rsidP="00B50D0A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0013ED" w:rsidRPr="009054F0" w:rsidRDefault="000013ED" w:rsidP="00B50D0A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D01EB5" w:rsidRDefault="00D01EB5" w:rsidP="00102C19">
      <w:pPr>
        <w:pStyle w:val="DefaultText"/>
        <w:rPr>
          <w:b/>
          <w:sz w:val="22"/>
          <w:szCs w:val="22"/>
        </w:rPr>
      </w:pPr>
    </w:p>
    <w:p w:rsidR="0064334F" w:rsidRDefault="0064334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="000013ED">
        <w:t xml:space="preserve">  </w:t>
      </w:r>
      <w:r w:rsidR="00376085">
        <w:t>Building Projects planned in the</w:t>
      </w:r>
      <w:r w:rsidR="000238D7">
        <w:t xml:space="preserve"> 2020</w:t>
      </w:r>
      <w:r w:rsidR="000238D7" w:rsidRPr="009054F0">
        <w:t xml:space="preserve"> Building Services</w:t>
      </w:r>
      <w:r w:rsidR="000238D7">
        <w:t xml:space="preserve"> </w:t>
      </w:r>
      <w:r w:rsidR="000238D7" w:rsidRPr="009054F0">
        <w:t>budget</w:t>
      </w:r>
      <w:r w:rsidR="00376085">
        <w:t xml:space="preserve"> not completed due to COVID-19 Pandemic</w:t>
      </w:r>
      <w:r w:rsidR="005E295F">
        <w:t xml:space="preserve"> ha</w:t>
      </w:r>
      <w:r w:rsidR="00A060FB">
        <w:t>s freed up the funds needed</w:t>
      </w:r>
      <w:r w:rsidR="000238D7">
        <w:t xml:space="preserve"> for the purchase of a</w:t>
      </w:r>
      <w:r w:rsidR="000013ED">
        <w:t xml:space="preserve"> </w:t>
      </w:r>
      <w:r w:rsidR="005E295F">
        <w:t>Facilities Director</w:t>
      </w:r>
      <w:r w:rsidR="000013ED">
        <w:t xml:space="preserve"> vehicle</w:t>
      </w:r>
      <w:r w:rsidR="006134C5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Pr="009054F0">
        <w:t>No Information system impact.</w:t>
      </w: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7978"/>
        <w:gridCol w:w="1312"/>
        <w:gridCol w:w="265"/>
        <w:gridCol w:w="2963"/>
        <w:gridCol w:w="213"/>
        <w:gridCol w:w="9"/>
      </w:tblGrid>
      <w:tr w:rsidR="00AC4C8F" w:rsidRPr="00AC4C8F" w:rsidTr="000013ED">
        <w:trPr>
          <w:gridAfter w:val="1"/>
          <w:wAfter w:w="9" w:type="dxa"/>
          <w:trHeight w:val="264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1E2EB3" w:rsidP="001E2E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Facilities Director Replacement Vehicle</w:t>
            </w:r>
            <w:r w:rsidR="000013E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013ED" w:rsidRPr="00AC4C8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Bid Tally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CB567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C8F" w:rsidRPr="00AC4C8F" w:rsidTr="000013ED">
        <w:trPr>
          <w:trHeight w:val="211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64" w:type="dxa"/>
              <w:tblLook w:val="04A0" w:firstRow="1" w:lastRow="0" w:firstColumn="1" w:lastColumn="0" w:noHBand="0" w:noVBand="1"/>
            </w:tblPr>
            <w:tblGrid>
              <w:gridCol w:w="2518"/>
              <w:gridCol w:w="1586"/>
              <w:gridCol w:w="2019"/>
              <w:gridCol w:w="2941"/>
            </w:tblGrid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Vendor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Options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Cost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5E295F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Ewald Automotive Group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5E295F" w:rsidP="005E295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2021</w:t>
                  </w:r>
                  <w:r w:rsidR="000013ED"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Chevy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Silverado </w:t>
                  </w:r>
                  <w:r w:rsidR="000013ED"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2500</w:t>
                  </w:r>
                  <w:r w:rsid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Crew Cab 4X4</w:t>
                  </w:r>
                  <w:r w:rsidR="000013ED"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5E295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</w:t>
                  </w:r>
                  <w:r w:rsidR="005E295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31,950.00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From 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State bid pricing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5E295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Towing</w:t>
                  </w:r>
                  <w:r w:rsidR="005E295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Snow Plow Prep, Ton</w:t>
                  </w:r>
                  <w:r w:rsidR="00DE798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</w:t>
                  </w:r>
                  <w:r w:rsidR="005E295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neau Cover 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Package</w:t>
                  </w:r>
                  <w:r w:rsidR="005E295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A55A0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</w:t>
                  </w:r>
                  <w:r w:rsidR="00A55A0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1622</w:t>
                  </w:r>
                  <w:r w:rsidR="005E295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.00</w:t>
                  </w: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Title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164.50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Registration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$                         5.00 </w:t>
                  </w: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</w:tr>
            <w:tr w:rsidR="000013ED" w:rsidRPr="000013ED" w:rsidTr="00EB24F9">
              <w:trPr>
                <w:trHeight w:val="289"/>
              </w:trPr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textAlignment w:val="auto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0013ED" w:rsidRPr="000013ED" w:rsidRDefault="000013ED" w:rsidP="000013E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Vehicle Total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0013ED" w:rsidRPr="000013ED" w:rsidRDefault="000013ED" w:rsidP="00A55A0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 $              </w:t>
                  </w:r>
                  <w:r w:rsidR="005E295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33</w:t>
                  </w:r>
                  <w:r w:rsidR="001E2EB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, </w:t>
                  </w:r>
                  <w:r w:rsidR="00A55A0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741</w:t>
                  </w:r>
                  <w:r w:rsidR="005E295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.50</w:t>
                  </w:r>
                  <w:r w:rsidRPr="000013ED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CB567E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0013ED">
        <w:trPr>
          <w:trHeight w:val="211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CB567E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0013ED">
        <w:trPr>
          <w:trHeight w:val="211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bookmarkStart w:id="0" w:name="_GoBack"/>
      <w:bookmarkEnd w:id="0"/>
    </w:p>
    <w:sectPr w:rsidR="00A966DA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ED"/>
    <w:rsid w:val="000016AA"/>
    <w:rsid w:val="000109DA"/>
    <w:rsid w:val="000238D7"/>
    <w:rsid w:val="00031E85"/>
    <w:rsid w:val="0003237D"/>
    <w:rsid w:val="00037FE6"/>
    <w:rsid w:val="0007073E"/>
    <w:rsid w:val="000765C0"/>
    <w:rsid w:val="00084DF0"/>
    <w:rsid w:val="00085E59"/>
    <w:rsid w:val="000902E4"/>
    <w:rsid w:val="000951ED"/>
    <w:rsid w:val="000A7E7F"/>
    <w:rsid w:val="000B14D0"/>
    <w:rsid w:val="000B1947"/>
    <w:rsid w:val="000B352B"/>
    <w:rsid w:val="000B59DF"/>
    <w:rsid w:val="000B79FF"/>
    <w:rsid w:val="000D0564"/>
    <w:rsid w:val="000D1E61"/>
    <w:rsid w:val="000D6495"/>
    <w:rsid w:val="000F1169"/>
    <w:rsid w:val="001001B3"/>
    <w:rsid w:val="00102C19"/>
    <w:rsid w:val="00110216"/>
    <w:rsid w:val="00116FF9"/>
    <w:rsid w:val="00122B09"/>
    <w:rsid w:val="001319F5"/>
    <w:rsid w:val="00136D1E"/>
    <w:rsid w:val="001565D5"/>
    <w:rsid w:val="00166E27"/>
    <w:rsid w:val="001716B0"/>
    <w:rsid w:val="00187648"/>
    <w:rsid w:val="001A21D5"/>
    <w:rsid w:val="001C22B4"/>
    <w:rsid w:val="001D1E90"/>
    <w:rsid w:val="001E1D83"/>
    <w:rsid w:val="001E2EB3"/>
    <w:rsid w:val="001E4083"/>
    <w:rsid w:val="00200AD2"/>
    <w:rsid w:val="00202D37"/>
    <w:rsid w:val="00221656"/>
    <w:rsid w:val="002219EF"/>
    <w:rsid w:val="00241D5C"/>
    <w:rsid w:val="00257F26"/>
    <w:rsid w:val="00266FFD"/>
    <w:rsid w:val="002877B6"/>
    <w:rsid w:val="00287A8B"/>
    <w:rsid w:val="002933D1"/>
    <w:rsid w:val="0029344E"/>
    <w:rsid w:val="002B369E"/>
    <w:rsid w:val="002C060F"/>
    <w:rsid w:val="002C2F82"/>
    <w:rsid w:val="002D1461"/>
    <w:rsid w:val="0030009B"/>
    <w:rsid w:val="00301CB0"/>
    <w:rsid w:val="003042CA"/>
    <w:rsid w:val="00311D1A"/>
    <w:rsid w:val="003432A3"/>
    <w:rsid w:val="00355EFD"/>
    <w:rsid w:val="00373B31"/>
    <w:rsid w:val="00376085"/>
    <w:rsid w:val="00387ED3"/>
    <w:rsid w:val="00387FF5"/>
    <w:rsid w:val="00392070"/>
    <w:rsid w:val="00394B25"/>
    <w:rsid w:val="003B68F3"/>
    <w:rsid w:val="003D4E12"/>
    <w:rsid w:val="003D77F5"/>
    <w:rsid w:val="004043D1"/>
    <w:rsid w:val="00415408"/>
    <w:rsid w:val="0041595A"/>
    <w:rsid w:val="00423630"/>
    <w:rsid w:val="00431245"/>
    <w:rsid w:val="00432102"/>
    <w:rsid w:val="00432593"/>
    <w:rsid w:val="004344A8"/>
    <w:rsid w:val="00446B11"/>
    <w:rsid w:val="00447545"/>
    <w:rsid w:val="004562EC"/>
    <w:rsid w:val="00475279"/>
    <w:rsid w:val="004A0AA8"/>
    <w:rsid w:val="004C07E3"/>
    <w:rsid w:val="004E1653"/>
    <w:rsid w:val="005006B3"/>
    <w:rsid w:val="005063F0"/>
    <w:rsid w:val="005303C4"/>
    <w:rsid w:val="00530FBF"/>
    <w:rsid w:val="0054045B"/>
    <w:rsid w:val="005507A3"/>
    <w:rsid w:val="00550E1A"/>
    <w:rsid w:val="0059274C"/>
    <w:rsid w:val="005B5496"/>
    <w:rsid w:val="005E0EB2"/>
    <w:rsid w:val="005E295F"/>
    <w:rsid w:val="005E331C"/>
    <w:rsid w:val="005F4649"/>
    <w:rsid w:val="006134C5"/>
    <w:rsid w:val="00620B14"/>
    <w:rsid w:val="0062406F"/>
    <w:rsid w:val="0064141E"/>
    <w:rsid w:val="00642552"/>
    <w:rsid w:val="00642DA3"/>
    <w:rsid w:val="0064334F"/>
    <w:rsid w:val="00655190"/>
    <w:rsid w:val="0067139A"/>
    <w:rsid w:val="00680FBE"/>
    <w:rsid w:val="00686BBD"/>
    <w:rsid w:val="00687D1C"/>
    <w:rsid w:val="006A1B30"/>
    <w:rsid w:val="006A6655"/>
    <w:rsid w:val="006B1CB1"/>
    <w:rsid w:val="006D309C"/>
    <w:rsid w:val="006D4F9C"/>
    <w:rsid w:val="006E038E"/>
    <w:rsid w:val="00712121"/>
    <w:rsid w:val="00716A53"/>
    <w:rsid w:val="00721B17"/>
    <w:rsid w:val="00723D8D"/>
    <w:rsid w:val="00724305"/>
    <w:rsid w:val="00726A72"/>
    <w:rsid w:val="007449F5"/>
    <w:rsid w:val="00747818"/>
    <w:rsid w:val="00786735"/>
    <w:rsid w:val="00790AD3"/>
    <w:rsid w:val="007910D2"/>
    <w:rsid w:val="0079516B"/>
    <w:rsid w:val="0079739E"/>
    <w:rsid w:val="007A2942"/>
    <w:rsid w:val="007C39A5"/>
    <w:rsid w:val="007C47AD"/>
    <w:rsid w:val="007C4FFA"/>
    <w:rsid w:val="007C5181"/>
    <w:rsid w:val="007D005D"/>
    <w:rsid w:val="007E6B0D"/>
    <w:rsid w:val="0081376A"/>
    <w:rsid w:val="00840BFF"/>
    <w:rsid w:val="00876B91"/>
    <w:rsid w:val="008836AD"/>
    <w:rsid w:val="008B4C42"/>
    <w:rsid w:val="008D00C1"/>
    <w:rsid w:val="008E3A7D"/>
    <w:rsid w:val="008F402D"/>
    <w:rsid w:val="008F77A8"/>
    <w:rsid w:val="009054F0"/>
    <w:rsid w:val="00907C08"/>
    <w:rsid w:val="0091499D"/>
    <w:rsid w:val="00930511"/>
    <w:rsid w:val="0096444E"/>
    <w:rsid w:val="00976515"/>
    <w:rsid w:val="009A6AA8"/>
    <w:rsid w:val="009B4328"/>
    <w:rsid w:val="009C3F26"/>
    <w:rsid w:val="009D5159"/>
    <w:rsid w:val="009F1F30"/>
    <w:rsid w:val="00A00F12"/>
    <w:rsid w:val="00A03D87"/>
    <w:rsid w:val="00A060FB"/>
    <w:rsid w:val="00A144E5"/>
    <w:rsid w:val="00A20060"/>
    <w:rsid w:val="00A35072"/>
    <w:rsid w:val="00A36D4F"/>
    <w:rsid w:val="00A446AE"/>
    <w:rsid w:val="00A52BF3"/>
    <w:rsid w:val="00A55A0F"/>
    <w:rsid w:val="00A608F3"/>
    <w:rsid w:val="00A671BB"/>
    <w:rsid w:val="00A749A3"/>
    <w:rsid w:val="00A959D9"/>
    <w:rsid w:val="00A95BC4"/>
    <w:rsid w:val="00A966DA"/>
    <w:rsid w:val="00AB61A3"/>
    <w:rsid w:val="00AC331C"/>
    <w:rsid w:val="00AC4C8F"/>
    <w:rsid w:val="00AC5EB6"/>
    <w:rsid w:val="00AF377E"/>
    <w:rsid w:val="00AF5ACA"/>
    <w:rsid w:val="00AF6836"/>
    <w:rsid w:val="00B00866"/>
    <w:rsid w:val="00B00C32"/>
    <w:rsid w:val="00B0599E"/>
    <w:rsid w:val="00B2634E"/>
    <w:rsid w:val="00B5450B"/>
    <w:rsid w:val="00B62C05"/>
    <w:rsid w:val="00B70FB6"/>
    <w:rsid w:val="00B73B46"/>
    <w:rsid w:val="00B7537F"/>
    <w:rsid w:val="00B865E7"/>
    <w:rsid w:val="00BC29B1"/>
    <w:rsid w:val="00BD352B"/>
    <w:rsid w:val="00BE2690"/>
    <w:rsid w:val="00BE4187"/>
    <w:rsid w:val="00BF1149"/>
    <w:rsid w:val="00C0509E"/>
    <w:rsid w:val="00C1554C"/>
    <w:rsid w:val="00C23B7B"/>
    <w:rsid w:val="00C26190"/>
    <w:rsid w:val="00C30082"/>
    <w:rsid w:val="00C41211"/>
    <w:rsid w:val="00C415C6"/>
    <w:rsid w:val="00C4616B"/>
    <w:rsid w:val="00C60573"/>
    <w:rsid w:val="00C63C22"/>
    <w:rsid w:val="00C860C2"/>
    <w:rsid w:val="00CB567E"/>
    <w:rsid w:val="00CD5436"/>
    <w:rsid w:val="00D01EB5"/>
    <w:rsid w:val="00D300F2"/>
    <w:rsid w:val="00D37577"/>
    <w:rsid w:val="00D40573"/>
    <w:rsid w:val="00D51C99"/>
    <w:rsid w:val="00D64C7D"/>
    <w:rsid w:val="00D9467F"/>
    <w:rsid w:val="00D95162"/>
    <w:rsid w:val="00DA5B8C"/>
    <w:rsid w:val="00DB6F1B"/>
    <w:rsid w:val="00DD635D"/>
    <w:rsid w:val="00DE0AEB"/>
    <w:rsid w:val="00DE144E"/>
    <w:rsid w:val="00DE798E"/>
    <w:rsid w:val="00E05362"/>
    <w:rsid w:val="00E0562C"/>
    <w:rsid w:val="00E177B9"/>
    <w:rsid w:val="00E27A69"/>
    <w:rsid w:val="00E353A7"/>
    <w:rsid w:val="00E7595A"/>
    <w:rsid w:val="00E76BCD"/>
    <w:rsid w:val="00E82582"/>
    <w:rsid w:val="00E829F4"/>
    <w:rsid w:val="00E85A83"/>
    <w:rsid w:val="00E90A6B"/>
    <w:rsid w:val="00EB24F9"/>
    <w:rsid w:val="00EC01ED"/>
    <w:rsid w:val="00EC1E12"/>
    <w:rsid w:val="00EC3C3B"/>
    <w:rsid w:val="00EC6508"/>
    <w:rsid w:val="00ED2684"/>
    <w:rsid w:val="00F21A6F"/>
    <w:rsid w:val="00F23456"/>
    <w:rsid w:val="00F3792D"/>
    <w:rsid w:val="00F42060"/>
    <w:rsid w:val="00F44B62"/>
    <w:rsid w:val="00F76C60"/>
    <w:rsid w:val="00F77933"/>
    <w:rsid w:val="00FB27AF"/>
    <w:rsid w:val="00FC50B1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F8432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7307</TotalTime>
  <Pages>3</Pages>
  <Words>208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15</cp:revision>
  <cp:lastPrinted>2019-09-05T22:26:00Z</cp:lastPrinted>
  <dcterms:created xsi:type="dcterms:W3CDTF">2020-11-25T11:15:00Z</dcterms:created>
  <dcterms:modified xsi:type="dcterms:W3CDTF">2020-12-02T21:12:00Z</dcterms:modified>
</cp:coreProperties>
</file>