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5E331C">
        <w:rPr>
          <w:b/>
          <w:sz w:val="28"/>
        </w:rPr>
        <w:t>2020</w:t>
      </w:r>
    </w:p>
    <w:p w:rsidR="00A671BB" w:rsidRDefault="00A671BB">
      <w:pPr>
        <w:pStyle w:val="DefaultText"/>
        <w:jc w:val="center"/>
        <w:rPr>
          <w:b/>
        </w:rPr>
      </w:pPr>
    </w:p>
    <w:p w:rsidR="009054F0" w:rsidRPr="00D9467F" w:rsidRDefault="00E177B9" w:rsidP="00CB56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center"/>
        <w:rPr>
          <w:rStyle w:val="InitialStyle"/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3816985</wp:posOffset>
                </wp:positionV>
                <wp:extent cx="5913120" cy="314325"/>
                <wp:effectExtent l="0" t="0" r="1143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394B25">
                              <w:rPr>
                                <w:b/>
                              </w:rPr>
                              <w:t xml:space="preserve">   [</w:t>
                            </w:r>
                            <w:r w:rsidR="00530FBF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0765C0">
                              <w:rPr>
                                <w:b/>
                              </w:rPr>
                              <w:t xml:space="preserve"> 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pt;margin-top:300.55pt;width:465.6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gQKgIAAFcEAAAOAAAAZHJzL2Uyb0RvYy54bWysVNuO2yAQfa/Uf0C8N46dpN1YcVbbbFNV&#10;2l6k3X4AxjhGBYYCiZ1+/Q44m00v6kNVPyBghjMz58x4dT1oRQ7CeQmmovlkSokwHBppdhX9+rB9&#10;dUWJD8w0TIERFT0KT6/XL1+seluKAjpQjXAEQYwve1vRLgRbZpnnndDMT8AKg8YWnGYBj26XNY71&#10;iK5VVkynr7MeXGMdcOE93t6ORrpO+G0rePjctl4EoiqKuYW0urTWcc3WK1buHLOd5Kc02D9koZk0&#10;GPQMdcsCI3snf4PSkjvw0IYJB51B20ouUg1YTT79pZr7jlmRakFyvD3T5P8fLP90+OKIbCpaUGKY&#10;RokexBDIWxhIEdnprS/R6d6iWxjwGlVOlXp7B/ybJwY2HTM7ceMc9J1gDWaXx5fZxdMRx0eQuv8I&#10;DYZh+wAJaGidjtQhGQTRUaXjWZmYCsfLxTKf5QWaONpm+XxWLFIIVj69ts6H9wI0iZuKOlQ+obPD&#10;nQ8xG1Y+ucRgHpRstlKpdHC7eqMcOTDskm36Tug/uSlD+oouFxj77xDT9P0JQsuA7a6krujV2YmV&#10;kbZ3pknNGJhU4x5TVubEY6RuJDEM9ZAESyRHjmtojkisg7G7cRpx04H7QUmPnV1R/33PnKBEfTAo&#10;zjKfz+MopMN88SbS6i4t9aWFGY5QFQ2UjNtNGMdnb53cdRhpbAcDNyhoKxPXz1md0sfuTRKcJi2O&#10;x+U5eT3/D9aPAAAA//8DAFBLAwQUAAYACAAAACEAJqW49N8AAAAJAQAADwAAAGRycy9kb3ducmV2&#10;LnhtbEyPwU7DMBBE70j8g7VIXFBrp5TQhDgVQgLRG7QIrm68TSLsdbDdNPw95gTH2VnNvKnWkzVs&#10;RB96RxKyuQCG1DjdUyvhbfc4WwELUZFWxhFK+MYA6/r8rFKldid6xXEbW5ZCKJRKQhfjUHIemg6t&#10;CnM3ICXv4LxVMUnfcu3VKYVbwxdC5NyqnlJDpwZ86LD53B6thNXyefwIm+uX9yY/mCJe3Y5PX17K&#10;y4vp/g5YxCn+PcMvfkKHOjHt3ZF0YEZCkZZECbnIMmDJL5ZiAWyfLjciB15X/P+C+gcAAP//AwBQ&#10;SwECLQAUAAYACAAAACEAtoM4kv4AAADhAQAAEwAAAAAAAAAAAAAAAAAAAAAAW0NvbnRlbnRfVHlw&#10;ZXNdLnhtbFBLAQItABQABgAIAAAAIQA4/SH/1gAAAJQBAAALAAAAAAAAAAAAAAAAAC8BAABfcmVs&#10;cy8ucmVsc1BLAQItABQABgAIAAAAIQDFzYgQKgIAAFcEAAAOAAAAAAAAAAAAAAAAAC4CAABkcnMv&#10;ZTJvRG9jLnhtbFBLAQItABQABgAIAAAAIQAmpbj03wAAAAkBAAAPAAAAAAAAAAAAAAAAAIQEAABk&#10;cnMvZG93bnJldi54bWxQSwUGAAAAAAQABADzAAAAkAUAAAAA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394B25">
                        <w:rPr>
                          <w:b/>
                        </w:rPr>
                        <w:t xml:space="preserve">   [</w:t>
                      </w:r>
                      <w:r w:rsidR="00530FBF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0765C0">
                        <w:rPr>
                          <w:b/>
                        </w:rPr>
                        <w:t xml:space="preserve"> 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530860</wp:posOffset>
                </wp:positionV>
                <wp:extent cx="5913120" cy="3295650"/>
                <wp:effectExtent l="0" t="0" r="114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C99" w:rsidRPr="002B369E" w:rsidRDefault="001E4083" w:rsidP="00D51C99">
                            <w:pPr>
                              <w:pStyle w:val="DefaultText"/>
                            </w:pPr>
                            <w:r w:rsidRPr="001E4083">
                              <w:rPr>
                                <w:b/>
                                <w:i/>
                              </w:rPr>
                              <w:t xml:space="preserve">Background: </w:t>
                            </w:r>
                            <w:r w:rsidR="00037FE6" w:rsidRPr="00037FE6">
                              <w:t>The</w:t>
                            </w:r>
                            <w:r w:rsidR="00037FE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5E331C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Communications 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>Technician</w:t>
                            </w:r>
                            <w:r w:rsidR="005E331C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along with Building Services staff are responsible for the maintenance and upkeep of the county’s communications</w:t>
                            </w:r>
                            <w:r w:rsidR="00037FE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system</w:t>
                            </w:r>
                            <w:r w:rsidR="00DE0AEB">
                              <w:rPr>
                                <w:rStyle w:val="InitialStyle"/>
                                <w:rFonts w:ascii="Times New Roman" w:hAnsi="Times New Roman"/>
                              </w:rPr>
                              <w:t>s</w:t>
                            </w:r>
                            <w:r w:rsidR="005E331C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.  The </w:t>
                            </w:r>
                            <w:r w:rsidR="00B865E7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communications </w:t>
                            </w:r>
                            <w:r w:rsidR="005E331C">
                              <w:rPr>
                                <w:rStyle w:val="InitialStyle"/>
                                <w:rFonts w:ascii="Times New Roman" w:hAnsi="Times New Roman"/>
                              </w:rPr>
                              <w:t>system</w:t>
                            </w:r>
                            <w:r w:rsidR="00DE0AEB">
                              <w:rPr>
                                <w:rStyle w:val="InitialStyle"/>
                                <w:rFonts w:ascii="Times New Roman" w:hAnsi="Times New Roman"/>
                              </w:rPr>
                              <w:t>s and equipment are located at</w:t>
                            </w:r>
                            <w:r w:rsidR="005E331C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nine tower sites,</w:t>
                            </w:r>
                            <w:r w:rsidR="005507A3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three Fire D</w:t>
                            </w:r>
                            <w:r w:rsidR="00B865E7">
                              <w:rPr>
                                <w:rStyle w:val="InitialStyle"/>
                                <w:rFonts w:ascii="Times New Roman" w:hAnsi="Times New Roman"/>
                              </w:rPr>
                              <w:t>epartments,</w:t>
                            </w:r>
                            <w:r w:rsidR="005E331C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5507A3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along with </w:t>
                            </w:r>
                            <w:r w:rsidR="005E331C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196 miles of fiber, and </w:t>
                            </w:r>
                            <w:r w:rsidR="00B865E7">
                              <w:rPr>
                                <w:rStyle w:val="InitialStyle"/>
                                <w:rFonts w:ascii="Times New Roman" w:hAnsi="Times New Roman"/>
                              </w:rPr>
                              <w:t>numerous</w:t>
                            </w:r>
                            <w:r w:rsidR="005507A3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other pieces equipment at</w:t>
                            </w:r>
                            <w:r w:rsidR="005E331C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other </w:t>
                            </w:r>
                            <w:r w:rsidR="00DE0AEB">
                              <w:rPr>
                                <w:rStyle w:val="InitialStyle"/>
                                <w:rFonts w:ascii="Times New Roman" w:hAnsi="Times New Roman"/>
                              </w:rPr>
                              <w:t>locations</w:t>
                            </w:r>
                            <w:r w:rsidR="005E331C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used by county staff and first 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>responders</w:t>
                            </w:r>
                            <w:r w:rsidR="005E331C">
                              <w:rPr>
                                <w:rStyle w:val="InitialStyle"/>
                                <w:rFonts w:ascii="Times New Roman" w:hAnsi="Times New Roman"/>
                              </w:rPr>
                              <w:t>.</w:t>
                            </w:r>
                            <w:r w:rsidR="00E85A83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4562EC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E85A83">
                              <w:rPr>
                                <w:rStyle w:val="InitialStyle"/>
                                <w:rFonts w:ascii="Times New Roman" w:hAnsi="Times New Roman"/>
                              </w:rPr>
                              <w:t>The</w:t>
                            </w:r>
                            <w:r w:rsidR="006A1B30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>Communications Technician</w:t>
                            </w:r>
                            <w:r w:rsidR="00E85A83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current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ly </w:t>
                            </w:r>
                            <w:r w:rsidR="00B865E7">
                              <w:rPr>
                                <w:rStyle w:val="InitialStyle"/>
                                <w:rFonts w:ascii="Times New Roman" w:hAnsi="Times New Roman"/>
                              </w:rPr>
                              <w:t>drives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 2011 Chevy Tahoe</w:t>
                            </w:r>
                            <w:r w:rsidR="00B5450B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with 200,500 miles on it</w:t>
                            </w:r>
                            <w:r w:rsidR="002B369E">
                              <w:rPr>
                                <w:rStyle w:val="InitialStyle"/>
                                <w:rFonts w:ascii="Times New Roman" w:hAnsi="Times New Roman"/>
                              </w:rPr>
                              <w:t>,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B5450B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which was 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>pur</w:t>
                            </w:r>
                            <w:bookmarkStart w:id="0" w:name="_GoBack"/>
                            <w:bookmarkEnd w:id="0"/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>c</w:t>
                            </w:r>
                            <w:r w:rsidR="00DE0AEB">
                              <w:rPr>
                                <w:rStyle w:val="InitialStyle"/>
                                <w:rFonts w:ascii="Times New Roman" w:hAnsi="Times New Roman"/>
                              </w:rPr>
                              <w:t>hased used from the Highway department</w:t>
                            </w:r>
                            <w:r w:rsidR="002B369E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in 2017</w:t>
                            </w:r>
                            <w:r w:rsidR="00B865E7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to </w:t>
                            </w:r>
                            <w:r w:rsidR="00DE0AEB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assist the Communications Technician </w:t>
                            </w:r>
                            <w:r w:rsidR="00D01EB5">
                              <w:rPr>
                                <w:rStyle w:val="InitialStyle"/>
                                <w:rFonts w:ascii="Times New Roman" w:hAnsi="Times New Roman"/>
                              </w:rPr>
                              <w:t>with</w:t>
                            </w:r>
                            <w:r w:rsidR="00DE0AEB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his </w:t>
                            </w:r>
                            <w:r w:rsidR="00B865E7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duties at the various locations </w:t>
                            </w:r>
                            <w:r w:rsidR="00DE0AEB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throughout </w:t>
                            </w:r>
                            <w:r w:rsidR="00B865E7">
                              <w:rPr>
                                <w:rStyle w:val="InitialStyle"/>
                                <w:rFonts w:ascii="Times New Roman" w:hAnsi="Times New Roman"/>
                              </w:rPr>
                              <w:t>the county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.  The Tahoe has been </w:t>
                            </w:r>
                            <w:r w:rsidR="00D01EB5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a 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>dependable</w:t>
                            </w:r>
                            <w:r w:rsidR="00DE0AEB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vehicle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, but with the amount of equipment and parts </w:t>
                            </w:r>
                            <w:r w:rsidR="00D01EB5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carried by 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the </w:t>
                            </w:r>
                            <w:r w:rsidR="00D01EB5">
                              <w:rPr>
                                <w:rStyle w:val="InitialStyle"/>
                                <w:rFonts w:ascii="Times New Roman" w:hAnsi="Times New Roman"/>
                              </w:rPr>
                              <w:t>Communication Technician</w:t>
                            </w:r>
                            <w:r w:rsidR="002B369E">
                              <w:rPr>
                                <w:rStyle w:val="InitialStyle"/>
                                <w:rFonts w:ascii="Times New Roman" w:hAnsi="Times New Roman"/>
                              </w:rPr>
                              <w:t>,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he has </w:t>
                            </w:r>
                            <w:r w:rsidR="00B865E7">
                              <w:rPr>
                                <w:rStyle w:val="InitialStyle"/>
                                <w:rFonts w:ascii="Times New Roman" w:hAnsi="Times New Roman"/>
                              </w:rPr>
                              <w:t>outgrown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the space</w:t>
                            </w:r>
                            <w:r w:rsidR="002B369E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available in the </w:t>
                            </w:r>
                            <w:r w:rsidR="00D01EB5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Chevy </w:t>
                            </w:r>
                            <w:r w:rsidR="002B369E">
                              <w:rPr>
                                <w:rStyle w:val="InitialStyle"/>
                                <w:rFonts w:ascii="Times New Roman" w:hAnsi="Times New Roman"/>
                              </w:rPr>
                              <w:t>Tahoe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.  The Tahoe is </w:t>
                            </w:r>
                            <w:r w:rsidR="00DE0AEB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also 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>starting to require more maintenance</w:t>
                            </w:r>
                            <w:r w:rsidR="00DE0AEB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and attention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due to the number of miles on the vehicle</w:t>
                            </w:r>
                            <w:r w:rsidR="002B369E">
                              <w:rPr>
                                <w:rStyle w:val="InitialStyle"/>
                                <w:rFonts w:ascii="Times New Roman" w:hAnsi="Times New Roman"/>
                              </w:rPr>
                              <w:t>.</w:t>
                            </w:r>
                            <w:r w:rsidR="002B369E" w:rsidRPr="002B369E">
                              <w:rPr>
                                <w:highlight w:val="white"/>
                              </w:rPr>
                              <w:t xml:space="preserve"> </w:t>
                            </w:r>
                            <w:r w:rsid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The Facilities</w:t>
                            </w:r>
                            <w:r w:rsidR="002B369E" w:rsidRP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</w:t>
                            </w:r>
                            <w:r w:rsid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Directo</w:t>
                            </w:r>
                            <w:r w:rsidR="00B865E7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r obtained</w:t>
                            </w:r>
                            <w:r w:rsidR="002B369E" w:rsidRP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state bid pricing for</w:t>
                            </w:r>
                            <w:r w:rsidR="00D01EB5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a</w:t>
                            </w:r>
                            <w:r w:rsidR="002B369E" w:rsidRP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</w:t>
                            </w:r>
                            <w:r w:rsidR="0081376A" w:rsidRP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¾-ton</w:t>
                            </w:r>
                            <w:r w:rsidR="002B369E" w:rsidRP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</w:t>
                            </w:r>
                            <w:r w:rsid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cargo van</w:t>
                            </w:r>
                            <w:r w:rsidR="00D01EB5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,</w:t>
                            </w:r>
                            <w:r w:rsidR="002B369E" w:rsidRP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and the lowest cost </w:t>
                            </w:r>
                            <w:r w:rsid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van</w:t>
                            </w:r>
                            <w:r w:rsidR="00B865E7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</w:t>
                            </w:r>
                            <w:r w:rsidR="00D01EB5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meeting</w:t>
                            </w:r>
                            <w:r w:rsidR="00B865E7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the needs of the Communication Technician</w:t>
                            </w:r>
                            <w:r w:rsidR="00116FF9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is a 2020</w:t>
                            </w:r>
                            <w:r w:rsidR="002B369E" w:rsidRP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</w:t>
                            </w:r>
                            <w:r w:rsid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Chevy</w:t>
                            </w:r>
                            <w:r w:rsidR="0081376A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2500</w:t>
                            </w:r>
                            <w:r w:rsid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Express </w:t>
                            </w:r>
                            <w:r w:rsidR="00B865E7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cargo v</w:t>
                            </w:r>
                            <w:r w:rsid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an</w:t>
                            </w:r>
                            <w:r w:rsidR="002B369E" w:rsidRP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from </w:t>
                            </w:r>
                            <w:r w:rsid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Napleton Chevrolet Buick</w:t>
                            </w:r>
                            <w:r w:rsidR="00D51C99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at a cost of $23,828</w:t>
                            </w:r>
                            <w:r w:rsidR="00D51C99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.90.  </w:t>
                            </w:r>
                            <w:r w:rsidR="00D51C99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The Facilities</w:t>
                            </w:r>
                            <w:r w:rsidR="00D51C99" w:rsidRP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</w:t>
                            </w:r>
                            <w:r w:rsidR="00D51C99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Directo</w:t>
                            </w:r>
                            <w:r w:rsidR="00D51C99" w:rsidRP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r </w:t>
                            </w:r>
                            <w:r w:rsidR="00D51C99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also </w:t>
                            </w:r>
                            <w:r w:rsidR="00116FF9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obtained </w:t>
                            </w:r>
                            <w:r w:rsidR="00D51C99" w:rsidRP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pricing for </w:t>
                            </w:r>
                            <w:r w:rsidR="00D51C99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the installation of a </w:t>
                            </w:r>
                            <w:r w:rsidR="006B1CB1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van </w:t>
                            </w:r>
                            <w:r w:rsidR="00D51C99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safety divider, shelving storage system</w:t>
                            </w:r>
                            <w:r w:rsidR="00D01EB5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,</w:t>
                            </w:r>
                            <w:r w:rsidR="00D51C99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and roof ladder rack for the </w:t>
                            </w:r>
                            <w:r w:rsidR="0081376A" w:rsidRP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¾-ton</w:t>
                            </w:r>
                            <w:r w:rsidR="00D51C99" w:rsidRP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</w:t>
                            </w:r>
                            <w:r w:rsidR="00D51C99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cargo van</w:t>
                            </w:r>
                            <w:r w:rsidR="00D51C99" w:rsidRP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from </w:t>
                            </w:r>
                            <w:r w:rsidR="00D51C99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Madison Truck Equipment at a cost of $3,</w:t>
                            </w:r>
                            <w:r w:rsidR="00B5450B">
                              <w:rPr>
                                <w:rStyle w:val="InitialStyle"/>
                                <w:rFonts w:ascii="Times New Roman" w:hAnsi="Times New Roman"/>
                              </w:rPr>
                              <w:t>7</w:t>
                            </w:r>
                            <w:r w:rsidR="00D51C99">
                              <w:rPr>
                                <w:rStyle w:val="InitialStyle"/>
                                <w:rFonts w:ascii="Times New Roman" w:hAnsi="Times New Roman"/>
                              </w:rPr>
                              <w:t>12.00.  The total cost for purchasing the fully equipped Communications Tech vehicle is $27,440.90.</w:t>
                            </w:r>
                          </w:p>
                          <w:p w:rsidR="001E4083" w:rsidRPr="002B369E" w:rsidRDefault="001E4083" w:rsidP="009054F0">
                            <w:pPr>
                              <w:pStyle w:val="Default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5pt;margin-top:41.8pt;width:465.6pt;height:259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38LAIAAFEEAAAOAAAAZHJzL2Uyb0RvYy54bWysVF1v2yAUfZ+0/4B4Xxy7cddYcaouXaZJ&#10;3YfU7gdgjG00zGVAYme/vhecZta2p2l+QMC9HM495+LN7dgrchTWSdAlTRdLSoTmUEvdlvTb0/7N&#10;DSXOM10zBVqU9CQcvd2+frUZTCEy6EDVwhIE0a4YTEk7702RJI53omduAUZoDDZge+ZxaduktmxA&#10;9F4l2XJ5nQxga2OBC+dw934K0m3EbxrB/ZemccITVVLk5uNo41iFMdluWNFaZjrJzzTYP7DomdR4&#10;6QXqnnlGDlb+AdVLbsFB4xcc+gSaRnIRa8Bq0uVv1Tx2zIhYC4rjzEUm9/9g+efjV0tkjd5RolmP&#10;Fj2J0ZN3MJIsqDMYV2DSo8E0P+J2yAyVOvMA/LsjGnYd0624sxaGTrAa2aXhZDI7OuG4AFINn6DG&#10;a9jBQwQaG9sHQBSDIDq6dLo4E6hw3MzX6VWaYYhj7Cpb59d59C5hxctxY53/IKAnYVJSi9ZHeHZ8&#10;cD7QYcVLSqQPStZ7qVRc2LbaKUuODNtkH79YAVY5T1OaDCVd51k+KTCPuTnEMn5/g+ilx35Xsi/p&#10;zSWJFUG397qO3eiZVNMcKSt9FjJoN6nox2o8G1NBfUJJLUx9je8QJx3Yn5QM2NMldT8OzApK1EeN&#10;tqzT1So8grhY5W+DoHYeqeYRpjlCldRTMk13fno4B2Nl2+FNUyNouEMrGxlFDp5PrM68sW+j9uc3&#10;Fh7GfB2zfv0Jts8AAAD//wMAUEsDBBQABgAIAAAAIQCnD5gv3gAAAAgBAAAPAAAAZHJzL2Rvd25y&#10;ZXYueG1sTI/LTsMwEEX3SPyDNUhsELVJK9OEOBVCAsEOCoKtG0+TCD+C7abh7xlWsBzd0bnn1pvZ&#10;WTZhTEPwCq4WAhj6NpjBdwreXu8v18BS1t5oGzwq+MYEm+b0pNaVCUf/gtM2d4wgPlVaQZ/zWHGe&#10;2h6dToswoqdsH6LTmc7YcRP1keDO8kIIyZ0ePDX0esS7HtvP7cEpWK8ep4/0tHx+b+Xelvnienr4&#10;ikqdn823N8AyzvnvGX71SR0actqFgzeJWQUlLcmEWkpgFJcrUQDbKZCikMCbmv8f0PwAAAD//wMA&#10;UEsBAi0AFAAGAAgAAAAhALaDOJL+AAAA4QEAABMAAAAAAAAAAAAAAAAAAAAAAFtDb250ZW50X1R5&#10;cGVzXS54bWxQSwECLQAUAAYACAAAACEAOP0h/9YAAACUAQAACwAAAAAAAAAAAAAAAAAvAQAAX3Jl&#10;bHMvLnJlbHNQSwECLQAUAAYACAAAACEAaeSd/CwCAABRBAAADgAAAAAAAAAAAAAAAAAuAgAAZHJz&#10;L2Uyb0RvYy54bWxQSwECLQAUAAYACAAAACEApw+YL94AAAAIAQAADwAAAAAAAAAAAAAAAACGBAAA&#10;ZHJzL2Rvd25yZXYueG1sUEsFBgAAAAAEAAQA8wAAAJEFAAAAAA==&#10;">
                <v:textbox>
                  <w:txbxContent>
                    <w:p w:rsidR="00D51C99" w:rsidRPr="002B369E" w:rsidRDefault="001E4083" w:rsidP="00D51C99">
                      <w:pPr>
                        <w:pStyle w:val="DefaultText"/>
                      </w:pPr>
                      <w:r w:rsidRPr="001E4083">
                        <w:rPr>
                          <w:b/>
                          <w:i/>
                        </w:rPr>
                        <w:t xml:space="preserve">Background: </w:t>
                      </w:r>
                      <w:r w:rsidR="00037FE6" w:rsidRPr="00037FE6">
                        <w:t>The</w:t>
                      </w:r>
                      <w:r w:rsidR="00037FE6">
                        <w:rPr>
                          <w:b/>
                          <w:i/>
                        </w:rPr>
                        <w:t xml:space="preserve"> </w:t>
                      </w:r>
                      <w:r w:rsidR="005E331C">
                        <w:rPr>
                          <w:rStyle w:val="InitialStyle"/>
                          <w:rFonts w:ascii="Times New Roman" w:hAnsi="Times New Roman"/>
                        </w:rPr>
                        <w:t xml:space="preserve">Communications 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>Technician</w:t>
                      </w:r>
                      <w:r w:rsidR="005E331C">
                        <w:rPr>
                          <w:rStyle w:val="InitialStyle"/>
                          <w:rFonts w:ascii="Times New Roman" w:hAnsi="Times New Roman"/>
                        </w:rPr>
                        <w:t xml:space="preserve"> along with Building Services staff are responsible for the maintenance and upkeep of the county’s communications</w:t>
                      </w:r>
                      <w:r w:rsidR="00037FE6">
                        <w:rPr>
                          <w:rStyle w:val="InitialStyle"/>
                          <w:rFonts w:ascii="Times New Roman" w:hAnsi="Times New Roman"/>
                        </w:rPr>
                        <w:t xml:space="preserve"> system</w:t>
                      </w:r>
                      <w:r w:rsidR="00DE0AEB">
                        <w:rPr>
                          <w:rStyle w:val="InitialStyle"/>
                          <w:rFonts w:ascii="Times New Roman" w:hAnsi="Times New Roman"/>
                        </w:rPr>
                        <w:t>s</w:t>
                      </w:r>
                      <w:r w:rsidR="005E331C">
                        <w:rPr>
                          <w:rStyle w:val="InitialStyle"/>
                          <w:rFonts w:ascii="Times New Roman" w:hAnsi="Times New Roman"/>
                        </w:rPr>
                        <w:t xml:space="preserve">.  The </w:t>
                      </w:r>
                      <w:r w:rsidR="00B865E7">
                        <w:rPr>
                          <w:rStyle w:val="InitialStyle"/>
                          <w:rFonts w:ascii="Times New Roman" w:hAnsi="Times New Roman"/>
                        </w:rPr>
                        <w:t xml:space="preserve">communications </w:t>
                      </w:r>
                      <w:r w:rsidR="005E331C">
                        <w:rPr>
                          <w:rStyle w:val="InitialStyle"/>
                          <w:rFonts w:ascii="Times New Roman" w:hAnsi="Times New Roman"/>
                        </w:rPr>
                        <w:t>system</w:t>
                      </w:r>
                      <w:r w:rsidR="00DE0AEB">
                        <w:rPr>
                          <w:rStyle w:val="InitialStyle"/>
                          <w:rFonts w:ascii="Times New Roman" w:hAnsi="Times New Roman"/>
                        </w:rPr>
                        <w:t>s and equipment are located at</w:t>
                      </w:r>
                      <w:r w:rsidR="005E331C">
                        <w:rPr>
                          <w:rStyle w:val="InitialStyle"/>
                          <w:rFonts w:ascii="Times New Roman" w:hAnsi="Times New Roman"/>
                        </w:rPr>
                        <w:t xml:space="preserve"> nine tower sites,</w:t>
                      </w:r>
                      <w:r w:rsidR="005507A3">
                        <w:rPr>
                          <w:rStyle w:val="InitialStyle"/>
                          <w:rFonts w:ascii="Times New Roman" w:hAnsi="Times New Roman"/>
                        </w:rPr>
                        <w:t xml:space="preserve"> three Fire D</w:t>
                      </w:r>
                      <w:r w:rsidR="00B865E7">
                        <w:rPr>
                          <w:rStyle w:val="InitialStyle"/>
                          <w:rFonts w:ascii="Times New Roman" w:hAnsi="Times New Roman"/>
                        </w:rPr>
                        <w:t>epartments,</w:t>
                      </w:r>
                      <w:r w:rsidR="005E331C">
                        <w:rPr>
                          <w:rStyle w:val="InitialStyle"/>
                          <w:rFonts w:ascii="Times New Roman" w:hAnsi="Times New Roman"/>
                        </w:rPr>
                        <w:t xml:space="preserve"> </w:t>
                      </w:r>
                      <w:r w:rsidR="005507A3">
                        <w:rPr>
                          <w:rStyle w:val="InitialStyle"/>
                          <w:rFonts w:ascii="Times New Roman" w:hAnsi="Times New Roman"/>
                        </w:rPr>
                        <w:t xml:space="preserve">along with </w:t>
                      </w:r>
                      <w:r w:rsidR="005E331C">
                        <w:rPr>
                          <w:rStyle w:val="InitialStyle"/>
                          <w:rFonts w:ascii="Times New Roman" w:hAnsi="Times New Roman"/>
                        </w:rPr>
                        <w:t xml:space="preserve">196 miles of fiber, and </w:t>
                      </w:r>
                      <w:r w:rsidR="00B865E7">
                        <w:rPr>
                          <w:rStyle w:val="InitialStyle"/>
                          <w:rFonts w:ascii="Times New Roman" w:hAnsi="Times New Roman"/>
                        </w:rPr>
                        <w:t>numerous</w:t>
                      </w:r>
                      <w:r w:rsidR="005507A3">
                        <w:rPr>
                          <w:rStyle w:val="InitialStyle"/>
                          <w:rFonts w:ascii="Times New Roman" w:hAnsi="Times New Roman"/>
                        </w:rPr>
                        <w:t xml:space="preserve"> other pieces equipment at</w:t>
                      </w:r>
                      <w:r w:rsidR="005E331C">
                        <w:rPr>
                          <w:rStyle w:val="InitialStyle"/>
                          <w:rFonts w:ascii="Times New Roman" w:hAnsi="Times New Roman"/>
                        </w:rPr>
                        <w:t xml:space="preserve"> other </w:t>
                      </w:r>
                      <w:r w:rsidR="00DE0AEB">
                        <w:rPr>
                          <w:rStyle w:val="InitialStyle"/>
                          <w:rFonts w:ascii="Times New Roman" w:hAnsi="Times New Roman"/>
                        </w:rPr>
                        <w:t>locations</w:t>
                      </w:r>
                      <w:r w:rsidR="005E331C">
                        <w:rPr>
                          <w:rStyle w:val="InitialStyle"/>
                          <w:rFonts w:ascii="Times New Roman" w:hAnsi="Times New Roman"/>
                        </w:rPr>
                        <w:t xml:space="preserve"> used by county staff and first 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>responders</w:t>
                      </w:r>
                      <w:r w:rsidR="005E331C">
                        <w:rPr>
                          <w:rStyle w:val="InitialStyle"/>
                          <w:rFonts w:ascii="Times New Roman" w:hAnsi="Times New Roman"/>
                        </w:rPr>
                        <w:t>.</w:t>
                      </w:r>
                      <w:r w:rsidR="00E85A83">
                        <w:rPr>
                          <w:rStyle w:val="InitialStyle"/>
                          <w:rFonts w:ascii="Times New Roman" w:hAnsi="Times New Roman"/>
                        </w:rPr>
                        <w:t xml:space="preserve"> </w:t>
                      </w:r>
                      <w:r w:rsidR="004562EC">
                        <w:rPr>
                          <w:rStyle w:val="InitialStyle"/>
                          <w:rFonts w:ascii="Times New Roman" w:hAnsi="Times New Roman"/>
                        </w:rPr>
                        <w:t xml:space="preserve"> </w:t>
                      </w:r>
                      <w:r w:rsidR="00E85A83">
                        <w:rPr>
                          <w:rStyle w:val="InitialStyle"/>
                          <w:rFonts w:ascii="Times New Roman" w:hAnsi="Times New Roman"/>
                        </w:rPr>
                        <w:t>The</w:t>
                      </w:r>
                      <w:r w:rsidR="006A1B30">
                        <w:rPr>
                          <w:b/>
                          <w:i/>
                        </w:rPr>
                        <w:t xml:space="preserve"> 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>Communications Technician</w:t>
                      </w:r>
                      <w:r w:rsidR="00E85A83">
                        <w:rPr>
                          <w:rStyle w:val="InitialStyle"/>
                          <w:rFonts w:ascii="Times New Roman" w:hAnsi="Times New Roman"/>
                        </w:rPr>
                        <w:t xml:space="preserve"> current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 xml:space="preserve">ly </w:t>
                      </w:r>
                      <w:r w:rsidR="00B865E7">
                        <w:rPr>
                          <w:rStyle w:val="InitialStyle"/>
                          <w:rFonts w:ascii="Times New Roman" w:hAnsi="Times New Roman"/>
                        </w:rPr>
                        <w:t>drives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 xml:space="preserve"> a 2011 Chevy Tahoe</w:t>
                      </w:r>
                      <w:r w:rsidR="00B5450B">
                        <w:rPr>
                          <w:rStyle w:val="InitialStyle"/>
                          <w:rFonts w:ascii="Times New Roman" w:hAnsi="Times New Roman"/>
                        </w:rPr>
                        <w:t xml:space="preserve"> with 200,500 miles on it</w:t>
                      </w:r>
                      <w:r w:rsidR="002B369E">
                        <w:rPr>
                          <w:rStyle w:val="InitialStyle"/>
                          <w:rFonts w:ascii="Times New Roman" w:hAnsi="Times New Roman"/>
                        </w:rPr>
                        <w:t>,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 xml:space="preserve"> </w:t>
                      </w:r>
                      <w:r w:rsidR="00B5450B">
                        <w:rPr>
                          <w:rStyle w:val="InitialStyle"/>
                          <w:rFonts w:ascii="Times New Roman" w:hAnsi="Times New Roman"/>
                        </w:rPr>
                        <w:t xml:space="preserve">which was 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>pur</w:t>
                      </w:r>
                      <w:bookmarkStart w:id="1" w:name="_GoBack"/>
                      <w:bookmarkEnd w:id="1"/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>c</w:t>
                      </w:r>
                      <w:r w:rsidR="00DE0AEB">
                        <w:rPr>
                          <w:rStyle w:val="InitialStyle"/>
                          <w:rFonts w:ascii="Times New Roman" w:hAnsi="Times New Roman"/>
                        </w:rPr>
                        <w:t>hased used from the Highway department</w:t>
                      </w:r>
                      <w:r w:rsidR="002B369E">
                        <w:rPr>
                          <w:rStyle w:val="InitialStyle"/>
                          <w:rFonts w:ascii="Times New Roman" w:hAnsi="Times New Roman"/>
                        </w:rPr>
                        <w:t xml:space="preserve"> in 2017</w:t>
                      </w:r>
                      <w:r w:rsidR="00B865E7">
                        <w:rPr>
                          <w:rStyle w:val="InitialStyle"/>
                          <w:rFonts w:ascii="Times New Roman" w:hAnsi="Times New Roman"/>
                        </w:rPr>
                        <w:t xml:space="preserve"> to </w:t>
                      </w:r>
                      <w:r w:rsidR="00DE0AEB">
                        <w:rPr>
                          <w:rStyle w:val="InitialStyle"/>
                          <w:rFonts w:ascii="Times New Roman" w:hAnsi="Times New Roman"/>
                        </w:rPr>
                        <w:t xml:space="preserve">assist the Communications Technician </w:t>
                      </w:r>
                      <w:r w:rsidR="00D01EB5">
                        <w:rPr>
                          <w:rStyle w:val="InitialStyle"/>
                          <w:rFonts w:ascii="Times New Roman" w:hAnsi="Times New Roman"/>
                        </w:rPr>
                        <w:t>with</w:t>
                      </w:r>
                      <w:r w:rsidR="00DE0AEB">
                        <w:rPr>
                          <w:rStyle w:val="InitialStyle"/>
                          <w:rFonts w:ascii="Times New Roman" w:hAnsi="Times New Roman"/>
                        </w:rPr>
                        <w:t xml:space="preserve"> his </w:t>
                      </w:r>
                      <w:r w:rsidR="00B865E7">
                        <w:rPr>
                          <w:rStyle w:val="InitialStyle"/>
                          <w:rFonts w:ascii="Times New Roman" w:hAnsi="Times New Roman"/>
                        </w:rPr>
                        <w:t xml:space="preserve">duties at the various locations </w:t>
                      </w:r>
                      <w:r w:rsidR="00DE0AEB">
                        <w:rPr>
                          <w:rStyle w:val="InitialStyle"/>
                          <w:rFonts w:ascii="Times New Roman" w:hAnsi="Times New Roman"/>
                        </w:rPr>
                        <w:t xml:space="preserve">throughout </w:t>
                      </w:r>
                      <w:r w:rsidR="00B865E7">
                        <w:rPr>
                          <w:rStyle w:val="InitialStyle"/>
                          <w:rFonts w:ascii="Times New Roman" w:hAnsi="Times New Roman"/>
                        </w:rPr>
                        <w:t>the county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 xml:space="preserve">.  The Tahoe has been </w:t>
                      </w:r>
                      <w:r w:rsidR="00D01EB5">
                        <w:rPr>
                          <w:rStyle w:val="InitialStyle"/>
                          <w:rFonts w:ascii="Times New Roman" w:hAnsi="Times New Roman"/>
                        </w:rPr>
                        <w:t xml:space="preserve">a 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>dependable</w:t>
                      </w:r>
                      <w:r w:rsidR="00DE0AEB">
                        <w:rPr>
                          <w:rStyle w:val="InitialStyle"/>
                          <w:rFonts w:ascii="Times New Roman" w:hAnsi="Times New Roman"/>
                        </w:rPr>
                        <w:t xml:space="preserve"> vehicle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 xml:space="preserve">, but with the amount of equipment and parts </w:t>
                      </w:r>
                      <w:r w:rsidR="00D01EB5">
                        <w:rPr>
                          <w:rStyle w:val="InitialStyle"/>
                          <w:rFonts w:ascii="Times New Roman" w:hAnsi="Times New Roman"/>
                        </w:rPr>
                        <w:t xml:space="preserve">carried by 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 xml:space="preserve">the </w:t>
                      </w:r>
                      <w:r w:rsidR="00D01EB5">
                        <w:rPr>
                          <w:rStyle w:val="InitialStyle"/>
                          <w:rFonts w:ascii="Times New Roman" w:hAnsi="Times New Roman"/>
                        </w:rPr>
                        <w:t>Communication Technician</w:t>
                      </w:r>
                      <w:r w:rsidR="002B369E">
                        <w:rPr>
                          <w:rStyle w:val="InitialStyle"/>
                          <w:rFonts w:ascii="Times New Roman" w:hAnsi="Times New Roman"/>
                        </w:rPr>
                        <w:t>,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 xml:space="preserve"> he has </w:t>
                      </w:r>
                      <w:r w:rsidR="00B865E7">
                        <w:rPr>
                          <w:rStyle w:val="InitialStyle"/>
                          <w:rFonts w:ascii="Times New Roman" w:hAnsi="Times New Roman"/>
                        </w:rPr>
                        <w:t>outgrown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 xml:space="preserve"> the space</w:t>
                      </w:r>
                      <w:r w:rsidR="002B369E">
                        <w:rPr>
                          <w:rStyle w:val="InitialStyle"/>
                          <w:rFonts w:ascii="Times New Roman" w:hAnsi="Times New Roman"/>
                        </w:rPr>
                        <w:t xml:space="preserve"> available in the </w:t>
                      </w:r>
                      <w:r w:rsidR="00D01EB5">
                        <w:rPr>
                          <w:rStyle w:val="InitialStyle"/>
                          <w:rFonts w:ascii="Times New Roman" w:hAnsi="Times New Roman"/>
                        </w:rPr>
                        <w:t xml:space="preserve">Chevy </w:t>
                      </w:r>
                      <w:r w:rsidR="002B369E">
                        <w:rPr>
                          <w:rStyle w:val="InitialStyle"/>
                          <w:rFonts w:ascii="Times New Roman" w:hAnsi="Times New Roman"/>
                        </w:rPr>
                        <w:t>Tahoe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 xml:space="preserve">.  The Tahoe is </w:t>
                      </w:r>
                      <w:r w:rsidR="00DE0AEB">
                        <w:rPr>
                          <w:rStyle w:val="InitialStyle"/>
                          <w:rFonts w:ascii="Times New Roman" w:hAnsi="Times New Roman"/>
                        </w:rPr>
                        <w:t xml:space="preserve">also 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>starting to require more maintenance</w:t>
                      </w:r>
                      <w:r w:rsidR="00DE0AEB">
                        <w:rPr>
                          <w:rStyle w:val="InitialStyle"/>
                          <w:rFonts w:ascii="Times New Roman" w:hAnsi="Times New Roman"/>
                        </w:rPr>
                        <w:t xml:space="preserve"> and attention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 xml:space="preserve"> due to the number of miles on the vehicle</w:t>
                      </w:r>
                      <w:r w:rsidR="002B369E">
                        <w:rPr>
                          <w:rStyle w:val="InitialStyle"/>
                          <w:rFonts w:ascii="Times New Roman" w:hAnsi="Times New Roman"/>
                        </w:rPr>
                        <w:t>.</w:t>
                      </w:r>
                      <w:r w:rsidR="002B369E" w:rsidRPr="002B369E">
                        <w:rPr>
                          <w:highlight w:val="white"/>
                        </w:rPr>
                        <w:t xml:space="preserve"> </w:t>
                      </w:r>
                      <w:r w:rsid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The Facilities</w:t>
                      </w:r>
                      <w:r w:rsidR="002B369E" w:rsidRP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</w:t>
                      </w:r>
                      <w:r w:rsid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Directo</w:t>
                      </w:r>
                      <w:r w:rsidR="00B865E7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r obtained</w:t>
                      </w:r>
                      <w:r w:rsidR="002B369E" w:rsidRP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state bid pricing for</w:t>
                      </w:r>
                      <w:r w:rsidR="00D01EB5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a</w:t>
                      </w:r>
                      <w:r w:rsidR="002B369E" w:rsidRP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</w:t>
                      </w:r>
                      <w:r w:rsidR="0081376A" w:rsidRP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¾-ton</w:t>
                      </w:r>
                      <w:r w:rsidR="002B369E" w:rsidRP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</w:t>
                      </w:r>
                      <w:r w:rsid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cargo van</w:t>
                      </w:r>
                      <w:r w:rsidR="00D01EB5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,</w:t>
                      </w:r>
                      <w:r w:rsidR="002B369E" w:rsidRP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and the lowest cost </w:t>
                      </w:r>
                      <w:r w:rsid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van</w:t>
                      </w:r>
                      <w:r w:rsidR="00B865E7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</w:t>
                      </w:r>
                      <w:r w:rsidR="00D01EB5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meeting</w:t>
                      </w:r>
                      <w:r w:rsidR="00B865E7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the needs of the Communication Technician</w:t>
                      </w:r>
                      <w:r w:rsidR="00116FF9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is a 2020</w:t>
                      </w:r>
                      <w:r w:rsidR="002B369E" w:rsidRP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</w:t>
                      </w:r>
                      <w:r w:rsid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Chevy</w:t>
                      </w:r>
                      <w:r w:rsidR="0081376A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2500</w:t>
                      </w:r>
                      <w:r w:rsid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Express </w:t>
                      </w:r>
                      <w:r w:rsidR="00B865E7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cargo v</w:t>
                      </w:r>
                      <w:r w:rsid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an</w:t>
                      </w:r>
                      <w:r w:rsidR="002B369E" w:rsidRP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from </w:t>
                      </w:r>
                      <w:r w:rsid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Napleton Chevrolet Buick</w:t>
                      </w:r>
                      <w:r w:rsidR="00D51C99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at a cost of $23,828</w:t>
                      </w:r>
                      <w:r w:rsidR="00D51C99">
                        <w:rPr>
                          <w:rStyle w:val="InitialStyle"/>
                          <w:rFonts w:ascii="Times New Roman" w:hAnsi="Times New Roman"/>
                        </w:rPr>
                        <w:t xml:space="preserve">.90.  </w:t>
                      </w:r>
                      <w:r w:rsidR="00D51C99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The Facilities</w:t>
                      </w:r>
                      <w:r w:rsidR="00D51C99" w:rsidRP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</w:t>
                      </w:r>
                      <w:r w:rsidR="00D51C99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Directo</w:t>
                      </w:r>
                      <w:r w:rsidR="00D51C99" w:rsidRP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r </w:t>
                      </w:r>
                      <w:r w:rsidR="00D51C99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also </w:t>
                      </w:r>
                      <w:r w:rsidR="00116FF9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obtained </w:t>
                      </w:r>
                      <w:r w:rsidR="00D51C99" w:rsidRP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pricing for </w:t>
                      </w:r>
                      <w:r w:rsidR="00D51C99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the installation of a </w:t>
                      </w:r>
                      <w:r w:rsidR="006B1CB1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van </w:t>
                      </w:r>
                      <w:r w:rsidR="00D51C99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safety divider, shelving storage system</w:t>
                      </w:r>
                      <w:r w:rsidR="00D01EB5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,</w:t>
                      </w:r>
                      <w:r w:rsidR="00D51C99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and roof ladder rack for the </w:t>
                      </w:r>
                      <w:r w:rsidR="0081376A" w:rsidRP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¾-ton</w:t>
                      </w:r>
                      <w:r w:rsidR="00D51C99" w:rsidRP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</w:t>
                      </w:r>
                      <w:r w:rsidR="00D51C99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cargo van</w:t>
                      </w:r>
                      <w:r w:rsidR="00D51C99" w:rsidRP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from </w:t>
                      </w:r>
                      <w:r w:rsidR="00D51C99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Madison Truck Equipment at a cost of $3,</w:t>
                      </w:r>
                      <w:r w:rsidR="00B5450B">
                        <w:rPr>
                          <w:rStyle w:val="InitialStyle"/>
                          <w:rFonts w:ascii="Times New Roman" w:hAnsi="Times New Roman"/>
                        </w:rPr>
                        <w:t>7</w:t>
                      </w:r>
                      <w:r w:rsidR="00D51C99">
                        <w:rPr>
                          <w:rStyle w:val="InitialStyle"/>
                          <w:rFonts w:ascii="Times New Roman" w:hAnsi="Times New Roman"/>
                        </w:rPr>
                        <w:t>12.00.  The total cost for purchasing the fully equipped Communications Tech vehicle is $27,440.90.</w:t>
                      </w:r>
                    </w:p>
                    <w:p w:rsidR="001E4083" w:rsidRPr="002B369E" w:rsidRDefault="001E4083" w:rsidP="009054F0">
                      <w:pPr>
                        <w:pStyle w:val="DefaultTex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54F0" w:rsidRPr="009054F0">
        <w:rPr>
          <w:rStyle w:val="InitialStyle"/>
          <w:rFonts w:ascii="Times New Roman" w:hAnsi="Times New Roman"/>
          <w:b/>
        </w:rPr>
        <w:t xml:space="preserve">AUTHORIZATION TO </w:t>
      </w:r>
      <w:r w:rsidR="005E331C">
        <w:rPr>
          <w:rStyle w:val="InitialStyle"/>
          <w:rFonts w:ascii="Times New Roman" w:hAnsi="Times New Roman"/>
          <w:b/>
        </w:rPr>
        <w:t>PURCHASE ONE 2020 2500 CHEVY EXPRESS CARGO VAN AND STORAGE SYSTEM FOR THE COMMUNICATIONS TECHNICIAN</w:t>
      </w: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  <w:b/>
        </w:rPr>
      </w:pP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  <w:b/>
        </w:rPr>
        <w:tab/>
        <w:t>NOW, THEREFORE, BE IT RESOLVED</w:t>
      </w:r>
      <w:r w:rsidRPr="009054F0">
        <w:rPr>
          <w:rStyle w:val="InitialStyle"/>
          <w:rFonts w:ascii="Times New Roman" w:hAnsi="Times New Roman"/>
        </w:rPr>
        <w:t>, by the Sauk County Board of Supervisors met in regular session,</w:t>
      </w:r>
      <w:r w:rsidR="00D9467F">
        <w:rPr>
          <w:rStyle w:val="InitialStyle"/>
          <w:rFonts w:ascii="Times New Roman" w:hAnsi="Times New Roman"/>
        </w:rPr>
        <w:t xml:space="preserve"> and</w:t>
      </w:r>
      <w:r w:rsidRPr="009054F0">
        <w:rPr>
          <w:rStyle w:val="InitialStyle"/>
          <w:rFonts w:ascii="Times New Roman" w:hAnsi="Times New Roman"/>
        </w:rPr>
        <w:t xml:space="preserve"> that the Building Services</w:t>
      </w:r>
      <w:r w:rsidR="00D9467F">
        <w:rPr>
          <w:rStyle w:val="InitialStyle"/>
          <w:rFonts w:ascii="Times New Roman" w:hAnsi="Times New Roman"/>
        </w:rPr>
        <w:t xml:space="preserve"> Facilities</w:t>
      </w:r>
      <w:r w:rsidRPr="009054F0">
        <w:rPr>
          <w:rStyle w:val="InitialStyle"/>
          <w:rFonts w:ascii="Times New Roman" w:hAnsi="Times New Roman"/>
        </w:rPr>
        <w:t xml:space="preserve"> Director is hereby authorized to </w:t>
      </w:r>
      <w:r w:rsidR="00116FF9">
        <w:rPr>
          <w:rStyle w:val="InitialStyle"/>
          <w:rFonts w:ascii="Times New Roman" w:hAnsi="Times New Roman"/>
        </w:rPr>
        <w:t>purchase a 2020</w:t>
      </w:r>
      <w:r w:rsidR="00D51C99">
        <w:rPr>
          <w:rStyle w:val="InitialStyle"/>
          <w:rFonts w:ascii="Times New Roman" w:hAnsi="Times New Roman"/>
        </w:rPr>
        <w:t xml:space="preserve"> Chevy</w:t>
      </w:r>
      <w:r w:rsidR="0081376A">
        <w:rPr>
          <w:rStyle w:val="InitialStyle"/>
          <w:rFonts w:ascii="Times New Roman" w:hAnsi="Times New Roman"/>
        </w:rPr>
        <w:t xml:space="preserve"> 2500</w:t>
      </w:r>
      <w:r w:rsidR="00D51C99">
        <w:rPr>
          <w:rStyle w:val="InitialStyle"/>
          <w:rFonts w:ascii="Times New Roman" w:hAnsi="Times New Roman"/>
        </w:rPr>
        <w:t xml:space="preserve"> Express  Cargo van from Napleton Chevrolet Buick at a cost of </w:t>
      </w:r>
      <w:r w:rsidR="00D51C99">
        <w:rPr>
          <w:rStyle w:val="InitialStyle"/>
          <w:rFonts w:ascii="Times New Roman" w:hAnsi="Times New Roman"/>
          <w:highlight w:val="white"/>
        </w:rPr>
        <w:t>$23,828</w:t>
      </w:r>
      <w:r w:rsidR="00D51C99">
        <w:rPr>
          <w:rStyle w:val="InitialStyle"/>
          <w:rFonts w:ascii="Times New Roman" w:hAnsi="Times New Roman"/>
        </w:rPr>
        <w:t xml:space="preserve">.90 and purchase </w:t>
      </w:r>
      <w:r w:rsidRPr="009054F0">
        <w:rPr>
          <w:rStyle w:val="InitialStyle"/>
          <w:rFonts w:ascii="Times New Roman" w:hAnsi="Times New Roman"/>
        </w:rPr>
        <w:t xml:space="preserve"> </w:t>
      </w:r>
      <w:r w:rsidR="00D51C99">
        <w:rPr>
          <w:rStyle w:val="InitialStyle"/>
          <w:rFonts w:ascii="Times New Roman" w:hAnsi="Times New Roman"/>
          <w:highlight w:val="white"/>
        </w:rPr>
        <w:t xml:space="preserve">a safety divider, shelving storage system and roof ladder rack for the </w:t>
      </w:r>
      <w:r w:rsidR="00D51C99" w:rsidRPr="002B369E">
        <w:rPr>
          <w:rStyle w:val="InitialStyle"/>
          <w:rFonts w:ascii="Times New Roman" w:hAnsi="Times New Roman"/>
          <w:highlight w:val="white"/>
        </w:rPr>
        <w:t xml:space="preserve">¾ ton </w:t>
      </w:r>
      <w:r w:rsidR="00D51C99">
        <w:rPr>
          <w:rStyle w:val="InitialStyle"/>
          <w:rFonts w:ascii="Times New Roman" w:hAnsi="Times New Roman"/>
          <w:highlight w:val="white"/>
        </w:rPr>
        <w:t>cargo van</w:t>
      </w:r>
      <w:r w:rsidR="00D51C99" w:rsidRPr="002B369E">
        <w:rPr>
          <w:rStyle w:val="InitialStyle"/>
          <w:rFonts w:ascii="Times New Roman" w:hAnsi="Times New Roman"/>
          <w:highlight w:val="white"/>
        </w:rPr>
        <w:t xml:space="preserve"> from </w:t>
      </w:r>
      <w:r w:rsidR="00D51C99">
        <w:rPr>
          <w:rStyle w:val="InitialStyle"/>
          <w:rFonts w:ascii="Times New Roman" w:hAnsi="Times New Roman"/>
          <w:highlight w:val="white"/>
        </w:rPr>
        <w:t>Madison Truck Equipment at a cost of $3,</w:t>
      </w:r>
      <w:r w:rsidR="00B5450B">
        <w:rPr>
          <w:rStyle w:val="InitialStyle"/>
          <w:rFonts w:ascii="Times New Roman" w:hAnsi="Times New Roman"/>
        </w:rPr>
        <w:t>7</w:t>
      </w:r>
      <w:r w:rsidR="00D51C99">
        <w:rPr>
          <w:rStyle w:val="InitialStyle"/>
          <w:rFonts w:ascii="Times New Roman" w:hAnsi="Times New Roman"/>
        </w:rPr>
        <w:t>12.00, with the</w:t>
      </w:r>
      <w:r w:rsidR="005E0EB2">
        <w:rPr>
          <w:rStyle w:val="InitialStyle"/>
          <w:rFonts w:ascii="Times New Roman" w:hAnsi="Times New Roman"/>
        </w:rPr>
        <w:t xml:space="preserve"> total cost for purchasing the fully equipped Comm</w:t>
      </w:r>
      <w:r w:rsidR="00B5450B">
        <w:rPr>
          <w:rStyle w:val="InitialStyle"/>
          <w:rFonts w:ascii="Times New Roman" w:hAnsi="Times New Roman"/>
        </w:rPr>
        <w:t>unications Tech vehicle at $27,5</w:t>
      </w:r>
      <w:r w:rsidR="005E0EB2">
        <w:rPr>
          <w:rStyle w:val="InitialStyle"/>
          <w:rFonts w:ascii="Times New Roman" w:hAnsi="Times New Roman"/>
        </w:rPr>
        <w:t>40.90</w:t>
      </w:r>
      <w:r w:rsidR="009C3F26">
        <w:rPr>
          <w:rStyle w:val="InitialStyle"/>
          <w:rFonts w:ascii="Times New Roman" w:hAnsi="Times New Roman"/>
        </w:rPr>
        <w:t>.</w:t>
      </w: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</w:rPr>
        <w:t xml:space="preserve">For consideration by the Sauk County Board of Supervisors on </w:t>
      </w:r>
      <w:r w:rsidR="000013ED">
        <w:rPr>
          <w:rStyle w:val="InitialStyle"/>
          <w:rFonts w:ascii="Times New Roman" w:hAnsi="Times New Roman"/>
        </w:rPr>
        <w:t xml:space="preserve">February </w:t>
      </w:r>
      <w:r w:rsidR="00B00866">
        <w:rPr>
          <w:rStyle w:val="InitialStyle"/>
          <w:rFonts w:ascii="Times New Roman" w:hAnsi="Times New Roman"/>
        </w:rPr>
        <w:t>19</w:t>
      </w:r>
      <w:r w:rsidR="000013ED">
        <w:rPr>
          <w:rStyle w:val="InitialStyle"/>
          <w:rFonts w:ascii="Times New Roman" w:hAnsi="Times New Roman"/>
        </w:rPr>
        <w:t>, 2020</w:t>
      </w:r>
      <w:r w:rsidRPr="009054F0">
        <w:rPr>
          <w:rStyle w:val="InitialStyle"/>
          <w:rFonts w:ascii="Times New Roman" w:hAnsi="Times New Roman"/>
        </w:rPr>
        <w:t>.</w:t>
      </w:r>
    </w:p>
    <w:p w:rsidR="00EC01ED" w:rsidRDefault="00EC01ED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</w:rPr>
        <w:t xml:space="preserve">Respectfully submitted, </w:t>
      </w:r>
    </w:p>
    <w:p w:rsidR="000D1E61" w:rsidRDefault="000D1E61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0013ED" w:rsidRPr="009054F0" w:rsidRDefault="000013ED" w:rsidP="000013ED">
      <w:pPr>
        <w:pStyle w:val="DefaultText"/>
        <w:rPr>
          <w:b/>
          <w:bCs/>
          <w:caps/>
          <w:sz w:val="22"/>
          <w:szCs w:val="22"/>
        </w:rPr>
      </w:pPr>
      <w:r w:rsidRPr="009054F0">
        <w:rPr>
          <w:b/>
          <w:bCs/>
          <w:caps/>
          <w:sz w:val="22"/>
          <w:szCs w:val="22"/>
        </w:rPr>
        <w:t>Sauk County Property Committee</w:t>
      </w:r>
    </w:p>
    <w:tbl>
      <w:tblPr>
        <w:tblW w:w="93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90"/>
        <w:gridCol w:w="4675"/>
      </w:tblGrid>
      <w:tr w:rsidR="000013ED" w:rsidRPr="009054F0" w:rsidTr="00B50D0A">
        <w:trPr>
          <w:cantSplit/>
          <w:trHeight w:hRule="exact" w:val="108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Scott Von Asten, Chair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William Hambrecht</w:t>
            </w:r>
          </w:p>
        </w:tc>
      </w:tr>
      <w:tr w:rsidR="000013ED" w:rsidRPr="009054F0" w:rsidTr="00B50D0A">
        <w:trPr>
          <w:cantSplit/>
          <w:trHeight w:hRule="exact" w:val="828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Shane Gibson</w:t>
            </w:r>
          </w:p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Jean Berlin</w:t>
            </w:r>
          </w:p>
        </w:tc>
      </w:tr>
      <w:tr w:rsidR="000013ED" w:rsidRPr="009054F0" w:rsidTr="00B50D0A">
        <w:trPr>
          <w:cantSplit/>
          <w:trHeight w:hRule="exact" w:val="108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0013ED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Gruber</w:t>
            </w:r>
          </w:p>
          <w:p w:rsidR="000013ED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0013ED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0013ED" w:rsidRPr="009054F0" w:rsidRDefault="000013ED" w:rsidP="00B50D0A">
            <w:pPr>
              <w:pStyle w:val="DefaultTex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 xml:space="preserve"> </w:t>
            </w:r>
          </w:p>
        </w:tc>
      </w:tr>
    </w:tbl>
    <w:p w:rsidR="000013ED" w:rsidRDefault="000013ED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D01EB5" w:rsidRDefault="00D01EB5" w:rsidP="00102C19">
      <w:pPr>
        <w:pStyle w:val="DefaultText"/>
        <w:rPr>
          <w:b/>
          <w:sz w:val="22"/>
          <w:szCs w:val="22"/>
        </w:rPr>
      </w:pPr>
    </w:p>
    <w:p w:rsidR="00102C19" w:rsidRDefault="00102C19" w:rsidP="00102C19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>PAGE 2</w:t>
      </w:r>
    </w:p>
    <w:p w:rsidR="00102C19" w:rsidRDefault="00102C19" w:rsidP="00102C19">
      <w:pPr>
        <w:pStyle w:val="DefaultText"/>
        <w:rPr>
          <w:b/>
          <w:sz w:val="22"/>
          <w:szCs w:val="22"/>
        </w:rPr>
      </w:pPr>
    </w:p>
    <w:p w:rsidR="00102C19" w:rsidRPr="00102C19" w:rsidRDefault="000013ED" w:rsidP="00102C19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>RESOLUTION NO. _____ - 2020</w:t>
      </w:r>
    </w:p>
    <w:p w:rsidR="00102C19" w:rsidRDefault="00102C19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  <w:b/>
          <w:sz w:val="22"/>
          <w:szCs w:val="22"/>
        </w:rPr>
      </w:pPr>
    </w:p>
    <w:p w:rsidR="00102C19" w:rsidRPr="00EB24F9" w:rsidRDefault="000013ED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  <w:sz w:val="22"/>
          <w:szCs w:val="22"/>
        </w:rPr>
      </w:pPr>
      <w:r w:rsidRPr="00EB24F9">
        <w:rPr>
          <w:rStyle w:val="InitialStyle"/>
          <w:rFonts w:ascii="Times New Roman" w:hAnsi="Times New Roman"/>
          <w:b/>
          <w:sz w:val="22"/>
          <w:szCs w:val="22"/>
        </w:rPr>
        <w:t>AUTHORIZATION TO PURCHASE ONE 2020 2500 CHEVY EXPRESS CARGO VAN AND STORAGE SYSTEM FOR THE COMMUNICATIONS TECHNICIAN</w:t>
      </w:r>
    </w:p>
    <w:p w:rsidR="0064334F" w:rsidRDefault="0064334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</w:rPr>
      </w:pPr>
    </w:p>
    <w:p w:rsidR="0064334F" w:rsidRDefault="0064334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</w:rPr>
      </w:pPr>
    </w:p>
    <w:p w:rsid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 w:rsidRPr="009054F0">
        <w:rPr>
          <w:b/>
        </w:rPr>
        <w:t>Fiscal Note:</w:t>
      </w:r>
      <w:r w:rsidR="000013ED">
        <w:t xml:space="preserve">  </w:t>
      </w:r>
      <w:r w:rsidR="000238D7">
        <w:t>$35,000</w:t>
      </w:r>
      <w:r w:rsidR="000013ED">
        <w:t xml:space="preserve"> </w:t>
      </w:r>
      <w:r w:rsidR="000238D7">
        <w:t xml:space="preserve">is budgeted in </w:t>
      </w:r>
      <w:r w:rsidR="000238D7">
        <w:t>the 2020</w:t>
      </w:r>
      <w:r w:rsidR="000238D7" w:rsidRPr="009054F0">
        <w:t xml:space="preserve"> Building Services</w:t>
      </w:r>
      <w:r w:rsidR="000238D7">
        <w:t xml:space="preserve"> </w:t>
      </w:r>
      <w:r w:rsidR="000238D7" w:rsidRPr="009054F0">
        <w:t>budget</w:t>
      </w:r>
      <w:r w:rsidR="000238D7">
        <w:t xml:space="preserve"> for the purchase of a</w:t>
      </w:r>
      <w:r w:rsidR="000013ED">
        <w:t xml:space="preserve"> Communications </w:t>
      </w:r>
      <w:r w:rsidR="00EB24F9">
        <w:t>Technicians</w:t>
      </w:r>
      <w:r w:rsidR="000013ED">
        <w:t xml:space="preserve"> vehicle</w:t>
      </w:r>
      <w:r w:rsidR="006134C5">
        <w:t>.</w:t>
      </w:r>
    </w:p>
    <w:p w:rsidR="00D9467F" w:rsidRPr="009054F0" w:rsidRDefault="00D9467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p w:rsid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 w:rsidRPr="009054F0">
        <w:rPr>
          <w:rStyle w:val="InitialStyle"/>
          <w:rFonts w:ascii="Times New Roman" w:hAnsi="Times New Roman"/>
          <w:b/>
        </w:rPr>
        <w:t>Information System Note:</w:t>
      </w:r>
      <w:r w:rsidRPr="009054F0">
        <w:rPr>
          <w:rStyle w:val="InitialStyle"/>
          <w:rFonts w:ascii="Times New Roman" w:hAnsi="Times New Roman"/>
        </w:rPr>
        <w:t xml:space="preserve">  </w:t>
      </w:r>
      <w:r w:rsidRPr="009054F0">
        <w:t>No Information system impact.</w:t>
      </w:r>
    </w:p>
    <w:p w:rsidR="00AC4C8F" w:rsidRDefault="00AC4C8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p w:rsidR="00AC4C8F" w:rsidRDefault="00AC4C8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9352"/>
        <w:gridCol w:w="1079"/>
        <w:gridCol w:w="265"/>
        <w:gridCol w:w="2963"/>
        <w:gridCol w:w="213"/>
        <w:gridCol w:w="9"/>
      </w:tblGrid>
      <w:tr w:rsidR="00AC4C8F" w:rsidRPr="00AC4C8F" w:rsidTr="000013ED">
        <w:trPr>
          <w:gridAfter w:val="1"/>
          <w:wAfter w:w="9" w:type="dxa"/>
          <w:trHeight w:val="264"/>
        </w:trPr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0013ED" w:rsidP="00EB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Communications Technician Replacement Van </w:t>
            </w:r>
            <w:r w:rsidRPr="00AC4C8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Bid Tally</w:t>
            </w:r>
          </w:p>
        </w:tc>
        <w:tc>
          <w:tcPr>
            <w:tcW w:w="4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CB567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4C8F" w:rsidRPr="00AC4C8F" w:rsidTr="000013ED">
        <w:trPr>
          <w:trHeight w:val="211"/>
        </w:trPr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C4C8F" w:rsidRPr="00AC4C8F" w:rsidTr="000013ED">
        <w:trPr>
          <w:trHeight w:val="211"/>
        </w:trPr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C4C8F" w:rsidRPr="00AC4C8F" w:rsidTr="000013ED">
        <w:trPr>
          <w:trHeight w:val="211"/>
        </w:trPr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064" w:type="dxa"/>
              <w:tblLook w:val="04A0" w:firstRow="1" w:lastRow="0" w:firstColumn="1" w:lastColumn="0" w:noHBand="0" w:noVBand="1"/>
            </w:tblPr>
            <w:tblGrid>
              <w:gridCol w:w="2518"/>
              <w:gridCol w:w="1586"/>
              <w:gridCol w:w="2019"/>
              <w:gridCol w:w="2941"/>
            </w:tblGrid>
            <w:tr w:rsidR="000013ED" w:rsidRPr="000013ED" w:rsidTr="00EB24F9">
              <w:trPr>
                <w:trHeight w:val="289"/>
              </w:trPr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Vendor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Options</w:t>
                  </w: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Cost</w:t>
                  </w:r>
                </w:p>
              </w:tc>
            </w:tr>
            <w:tr w:rsidR="000013ED" w:rsidRPr="000013ED" w:rsidTr="00EB24F9">
              <w:trPr>
                <w:trHeight w:val="289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Napleton Chevy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Buick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2020 Chevy Express 2500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Cargo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Van</w:t>
                  </w: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White</w:t>
                  </w:r>
                </w:p>
              </w:tc>
              <w:tc>
                <w:tcPr>
                  <w:tcW w:w="2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$              23,413.00 </w:t>
                  </w:r>
                </w:p>
              </w:tc>
            </w:tr>
            <w:tr w:rsidR="000013ED" w:rsidRPr="000013ED" w:rsidTr="00EB24F9">
              <w:trPr>
                <w:trHeight w:val="289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From </w:t>
                  </w: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State bid pricing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Towing Package</w:t>
                  </w: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$                    246.40 </w:t>
                  </w:r>
                </w:p>
              </w:tc>
            </w:tr>
            <w:tr w:rsidR="000013ED" w:rsidRPr="000013ED" w:rsidTr="00EB24F9">
              <w:trPr>
                <w:trHeight w:val="289"/>
              </w:trPr>
              <w:tc>
                <w:tcPr>
                  <w:tcW w:w="2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Title</w:t>
                  </w: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$                    164.50 </w:t>
                  </w:r>
                </w:p>
              </w:tc>
            </w:tr>
            <w:tr w:rsidR="000013ED" w:rsidRPr="000013ED" w:rsidTr="00EB24F9">
              <w:trPr>
                <w:trHeight w:val="289"/>
              </w:trPr>
              <w:tc>
                <w:tcPr>
                  <w:tcW w:w="2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Registration</w:t>
                  </w: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$                         5.00 </w:t>
                  </w:r>
                </w:p>
              </w:tc>
            </w:tr>
            <w:tr w:rsidR="000013ED" w:rsidRPr="000013ED" w:rsidTr="00EB24F9">
              <w:trPr>
                <w:trHeight w:val="289"/>
              </w:trPr>
              <w:tc>
                <w:tcPr>
                  <w:tcW w:w="2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  <w:tc>
                <w:tcPr>
                  <w:tcW w:w="2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</w:tr>
            <w:tr w:rsidR="000013ED" w:rsidRPr="000013ED" w:rsidTr="00EB24F9">
              <w:trPr>
                <w:trHeight w:val="289"/>
              </w:trPr>
              <w:tc>
                <w:tcPr>
                  <w:tcW w:w="2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Vehicle Total</w:t>
                  </w:r>
                </w:p>
              </w:tc>
              <w:tc>
                <w:tcPr>
                  <w:tcW w:w="2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 xml:space="preserve"> $              23,828.90 </w:t>
                  </w:r>
                </w:p>
              </w:tc>
            </w:tr>
          </w:tbl>
          <w:p w:rsidR="00AC4C8F" w:rsidRPr="00AC4C8F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CB567E" w:rsidRDefault="00AC4C8F" w:rsidP="00AC4C8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C4C8F" w:rsidRPr="00AC4C8F" w:rsidTr="000013ED">
        <w:trPr>
          <w:trHeight w:val="211"/>
        </w:trPr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C4C8F" w:rsidRPr="00AC4C8F" w:rsidTr="000013ED">
        <w:trPr>
          <w:trHeight w:val="211"/>
        </w:trPr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CB567E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4C8F" w:rsidRPr="00AC4C8F" w:rsidTr="000013ED">
        <w:trPr>
          <w:trHeight w:val="211"/>
        </w:trPr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126" w:type="dxa"/>
              <w:tblLook w:val="04A0" w:firstRow="1" w:lastRow="0" w:firstColumn="1" w:lastColumn="0" w:noHBand="0" w:noVBand="1"/>
            </w:tblPr>
            <w:tblGrid>
              <w:gridCol w:w="1443"/>
              <w:gridCol w:w="1376"/>
              <w:gridCol w:w="2774"/>
              <w:gridCol w:w="3533"/>
            </w:tblGrid>
            <w:tr w:rsidR="000013ED" w:rsidRPr="000013ED" w:rsidTr="00EB24F9">
              <w:trPr>
                <w:trHeight w:val="384"/>
              </w:trPr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Madison Truck Equipment</w:t>
                  </w:r>
                </w:p>
              </w:tc>
              <w:tc>
                <w:tcPr>
                  <w:tcW w:w="41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Ranger Design GSR-16 Contractor Package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$                 2,755.00 </w:t>
                  </w:r>
                </w:p>
              </w:tc>
            </w:tr>
            <w:tr w:rsidR="000013ED" w:rsidRPr="000013ED" w:rsidTr="00EB24F9">
              <w:trPr>
                <w:trHeight w:val="384"/>
              </w:trPr>
              <w:tc>
                <w:tcPr>
                  <w:tcW w:w="1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Topper Manufacturing 12' </w:t>
                  </w:r>
                  <w:r w:rsidR="00EB24F9"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Galvanized</w:t>
                  </w: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Ladder Rack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$                    798.00 </w:t>
                  </w:r>
                </w:p>
              </w:tc>
            </w:tr>
            <w:tr w:rsidR="000013ED" w:rsidRPr="000013ED" w:rsidTr="00EB24F9">
              <w:trPr>
                <w:trHeight w:val="384"/>
              </w:trPr>
              <w:tc>
                <w:tcPr>
                  <w:tcW w:w="1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Topper Manufacturing Wind Deflector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63F0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$                       59.00 </w:t>
                  </w:r>
                </w:p>
              </w:tc>
            </w:tr>
            <w:tr w:rsidR="00AF6836" w:rsidRPr="000013ED" w:rsidTr="00AF6836">
              <w:trPr>
                <w:trHeight w:val="314"/>
              </w:trPr>
              <w:tc>
                <w:tcPr>
                  <w:tcW w:w="1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F6836" w:rsidRPr="000013ED" w:rsidRDefault="00AF6836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F6836" w:rsidRPr="000013ED" w:rsidRDefault="00AF6836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Topper Mfg Ratcheting Straps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6836" w:rsidRDefault="00AF6836" w:rsidP="00AF6836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$                       100.00</w:t>
                  </w:r>
                </w:p>
                <w:p w:rsidR="00AF6836" w:rsidRPr="000013ED" w:rsidRDefault="00AF6836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013ED" w:rsidRPr="000013ED" w:rsidTr="003B68F3">
              <w:trPr>
                <w:trHeight w:val="314"/>
              </w:trPr>
              <w:tc>
                <w:tcPr>
                  <w:tcW w:w="1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</w:tr>
            <w:tr w:rsidR="000013ED" w:rsidRPr="000013ED" w:rsidTr="00EB24F9">
              <w:trPr>
                <w:trHeight w:val="384"/>
              </w:trPr>
              <w:tc>
                <w:tcPr>
                  <w:tcW w:w="1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0013ED" w:rsidRPr="000013ED" w:rsidRDefault="000013ED" w:rsidP="00EB24F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Van Storage System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$                 </w:t>
                  </w:r>
                  <w:r w:rsidR="007E6B0D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3,7</w:t>
                  </w:r>
                  <w:r w:rsidRPr="000013ED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12.00</w:t>
                  </w: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013ED" w:rsidRPr="000013ED" w:rsidTr="00EB24F9">
              <w:trPr>
                <w:trHeight w:val="384"/>
              </w:trPr>
              <w:tc>
                <w:tcPr>
                  <w:tcW w:w="1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</w:tr>
            <w:tr w:rsidR="000013ED" w:rsidRPr="000013ED" w:rsidTr="003B68F3">
              <w:trPr>
                <w:trHeight w:val="80"/>
              </w:trPr>
              <w:tc>
                <w:tcPr>
                  <w:tcW w:w="1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</w:tr>
            <w:tr w:rsidR="000013ED" w:rsidRPr="000013ED" w:rsidTr="00EB24F9">
              <w:trPr>
                <w:trHeight w:val="384"/>
              </w:trPr>
              <w:tc>
                <w:tcPr>
                  <w:tcW w:w="1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Van Total Cost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7E6B0D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$              27,5</w:t>
                  </w:r>
                  <w:r w:rsidRPr="000013ED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 xml:space="preserve">40.90 </w:t>
                  </w:r>
                </w:p>
              </w:tc>
            </w:tr>
          </w:tbl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:rsidR="00AC4C8F" w:rsidRPr="009054F0" w:rsidRDefault="00AC4C8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sectPr w:rsidR="00A966DA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05" w:rsidRDefault="00B62C05">
      <w:r>
        <w:separator/>
      </w:r>
    </w:p>
  </w:endnote>
  <w:endnote w:type="continuationSeparator" w:id="0">
    <w:p w:rsidR="00B62C05" w:rsidRDefault="00B6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05" w:rsidRDefault="00B62C05">
      <w:r>
        <w:separator/>
      </w:r>
    </w:p>
  </w:footnote>
  <w:footnote w:type="continuationSeparator" w:id="0">
    <w:p w:rsidR="00B62C05" w:rsidRDefault="00B6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3ED"/>
    <w:rsid w:val="000016AA"/>
    <w:rsid w:val="000109DA"/>
    <w:rsid w:val="000238D7"/>
    <w:rsid w:val="00031E85"/>
    <w:rsid w:val="0003237D"/>
    <w:rsid w:val="00037FE6"/>
    <w:rsid w:val="0007073E"/>
    <w:rsid w:val="000765C0"/>
    <w:rsid w:val="00084DF0"/>
    <w:rsid w:val="00085E59"/>
    <w:rsid w:val="000902E4"/>
    <w:rsid w:val="000951ED"/>
    <w:rsid w:val="000A7E7F"/>
    <w:rsid w:val="000B14D0"/>
    <w:rsid w:val="000B1947"/>
    <w:rsid w:val="000B352B"/>
    <w:rsid w:val="000B59DF"/>
    <w:rsid w:val="000B79FF"/>
    <w:rsid w:val="000D1E61"/>
    <w:rsid w:val="000D6495"/>
    <w:rsid w:val="000F1169"/>
    <w:rsid w:val="001001B3"/>
    <w:rsid w:val="00102C19"/>
    <w:rsid w:val="00110216"/>
    <w:rsid w:val="00116FF9"/>
    <w:rsid w:val="001319F5"/>
    <w:rsid w:val="00136D1E"/>
    <w:rsid w:val="001565D5"/>
    <w:rsid w:val="00166E27"/>
    <w:rsid w:val="001716B0"/>
    <w:rsid w:val="00187648"/>
    <w:rsid w:val="001A21D5"/>
    <w:rsid w:val="001C22B4"/>
    <w:rsid w:val="001D1E90"/>
    <w:rsid w:val="001E1D83"/>
    <w:rsid w:val="001E4083"/>
    <w:rsid w:val="00200AD2"/>
    <w:rsid w:val="00202D37"/>
    <w:rsid w:val="002219EF"/>
    <w:rsid w:val="00241D5C"/>
    <w:rsid w:val="00257F26"/>
    <w:rsid w:val="00266FFD"/>
    <w:rsid w:val="00287A8B"/>
    <w:rsid w:val="002933D1"/>
    <w:rsid w:val="0029344E"/>
    <w:rsid w:val="002B369E"/>
    <w:rsid w:val="002C060F"/>
    <w:rsid w:val="002D1461"/>
    <w:rsid w:val="0030009B"/>
    <w:rsid w:val="00301CB0"/>
    <w:rsid w:val="003042CA"/>
    <w:rsid w:val="00311D1A"/>
    <w:rsid w:val="003432A3"/>
    <w:rsid w:val="00355EFD"/>
    <w:rsid w:val="00373B31"/>
    <w:rsid w:val="00387ED3"/>
    <w:rsid w:val="00387FF5"/>
    <w:rsid w:val="00392070"/>
    <w:rsid w:val="00394B25"/>
    <w:rsid w:val="003B68F3"/>
    <w:rsid w:val="003D4E12"/>
    <w:rsid w:val="003D77F5"/>
    <w:rsid w:val="004043D1"/>
    <w:rsid w:val="00415408"/>
    <w:rsid w:val="0041595A"/>
    <w:rsid w:val="00423630"/>
    <w:rsid w:val="00431245"/>
    <w:rsid w:val="00432102"/>
    <w:rsid w:val="00432593"/>
    <w:rsid w:val="004344A8"/>
    <w:rsid w:val="00446B11"/>
    <w:rsid w:val="00447545"/>
    <w:rsid w:val="004562EC"/>
    <w:rsid w:val="00475279"/>
    <w:rsid w:val="004A0AA8"/>
    <w:rsid w:val="004E1653"/>
    <w:rsid w:val="005006B3"/>
    <w:rsid w:val="005063F0"/>
    <w:rsid w:val="00530FBF"/>
    <w:rsid w:val="0054045B"/>
    <w:rsid w:val="005507A3"/>
    <w:rsid w:val="00550E1A"/>
    <w:rsid w:val="0059274C"/>
    <w:rsid w:val="005B5496"/>
    <w:rsid w:val="005E0EB2"/>
    <w:rsid w:val="005E331C"/>
    <w:rsid w:val="005F4649"/>
    <w:rsid w:val="006134C5"/>
    <w:rsid w:val="00620B14"/>
    <w:rsid w:val="0064141E"/>
    <w:rsid w:val="00642552"/>
    <w:rsid w:val="00642DA3"/>
    <w:rsid w:val="0064334F"/>
    <w:rsid w:val="00655190"/>
    <w:rsid w:val="0067139A"/>
    <w:rsid w:val="00680FBE"/>
    <w:rsid w:val="00686BBD"/>
    <w:rsid w:val="00687D1C"/>
    <w:rsid w:val="006A1B30"/>
    <w:rsid w:val="006A6655"/>
    <w:rsid w:val="006B1CB1"/>
    <w:rsid w:val="006D309C"/>
    <w:rsid w:val="006D4F9C"/>
    <w:rsid w:val="006E038E"/>
    <w:rsid w:val="00712121"/>
    <w:rsid w:val="00716A53"/>
    <w:rsid w:val="00721B17"/>
    <w:rsid w:val="00723D8D"/>
    <w:rsid w:val="00724305"/>
    <w:rsid w:val="00726A72"/>
    <w:rsid w:val="00747818"/>
    <w:rsid w:val="00786735"/>
    <w:rsid w:val="00790AD3"/>
    <w:rsid w:val="007910D2"/>
    <w:rsid w:val="0079516B"/>
    <w:rsid w:val="0079739E"/>
    <w:rsid w:val="007A2942"/>
    <w:rsid w:val="007C39A5"/>
    <w:rsid w:val="007C47AD"/>
    <w:rsid w:val="007C4FFA"/>
    <w:rsid w:val="007C5181"/>
    <w:rsid w:val="007D005D"/>
    <w:rsid w:val="007E6B0D"/>
    <w:rsid w:val="0081376A"/>
    <w:rsid w:val="00840BFF"/>
    <w:rsid w:val="00876B91"/>
    <w:rsid w:val="008836AD"/>
    <w:rsid w:val="008B4C42"/>
    <w:rsid w:val="008D00C1"/>
    <w:rsid w:val="008E3A7D"/>
    <w:rsid w:val="008F402D"/>
    <w:rsid w:val="008F77A8"/>
    <w:rsid w:val="009054F0"/>
    <w:rsid w:val="00907C08"/>
    <w:rsid w:val="00930511"/>
    <w:rsid w:val="0096444E"/>
    <w:rsid w:val="00976515"/>
    <w:rsid w:val="009A6AA8"/>
    <w:rsid w:val="009C3F26"/>
    <w:rsid w:val="009D5159"/>
    <w:rsid w:val="009F1F30"/>
    <w:rsid w:val="00A00F12"/>
    <w:rsid w:val="00A03D87"/>
    <w:rsid w:val="00A144E5"/>
    <w:rsid w:val="00A20060"/>
    <w:rsid w:val="00A35072"/>
    <w:rsid w:val="00A36D4F"/>
    <w:rsid w:val="00A446AE"/>
    <w:rsid w:val="00A52BF3"/>
    <w:rsid w:val="00A608F3"/>
    <w:rsid w:val="00A671BB"/>
    <w:rsid w:val="00A749A3"/>
    <w:rsid w:val="00A959D9"/>
    <w:rsid w:val="00A95BC4"/>
    <w:rsid w:val="00A966DA"/>
    <w:rsid w:val="00AB61A3"/>
    <w:rsid w:val="00AC331C"/>
    <w:rsid w:val="00AC4C8F"/>
    <w:rsid w:val="00AC5EB6"/>
    <w:rsid w:val="00AF377E"/>
    <w:rsid w:val="00AF5ACA"/>
    <w:rsid w:val="00AF6836"/>
    <w:rsid w:val="00B00866"/>
    <w:rsid w:val="00B00C32"/>
    <w:rsid w:val="00B0599E"/>
    <w:rsid w:val="00B2634E"/>
    <w:rsid w:val="00B5450B"/>
    <w:rsid w:val="00B62C05"/>
    <w:rsid w:val="00B70FB6"/>
    <w:rsid w:val="00B73B46"/>
    <w:rsid w:val="00B7537F"/>
    <w:rsid w:val="00B865E7"/>
    <w:rsid w:val="00BD352B"/>
    <w:rsid w:val="00BE2690"/>
    <w:rsid w:val="00BE4187"/>
    <w:rsid w:val="00BF1149"/>
    <w:rsid w:val="00C0509E"/>
    <w:rsid w:val="00C1554C"/>
    <w:rsid w:val="00C23B7B"/>
    <w:rsid w:val="00C26190"/>
    <w:rsid w:val="00C30082"/>
    <w:rsid w:val="00C41211"/>
    <w:rsid w:val="00C415C6"/>
    <w:rsid w:val="00C4616B"/>
    <w:rsid w:val="00C60573"/>
    <w:rsid w:val="00C860C2"/>
    <w:rsid w:val="00CB567E"/>
    <w:rsid w:val="00CD5436"/>
    <w:rsid w:val="00D01EB5"/>
    <w:rsid w:val="00D300F2"/>
    <w:rsid w:val="00D37577"/>
    <w:rsid w:val="00D40573"/>
    <w:rsid w:val="00D51C99"/>
    <w:rsid w:val="00D64C7D"/>
    <w:rsid w:val="00D9467F"/>
    <w:rsid w:val="00D95162"/>
    <w:rsid w:val="00DA5B8C"/>
    <w:rsid w:val="00DD635D"/>
    <w:rsid w:val="00DE0AEB"/>
    <w:rsid w:val="00DE144E"/>
    <w:rsid w:val="00E05362"/>
    <w:rsid w:val="00E0562C"/>
    <w:rsid w:val="00E177B9"/>
    <w:rsid w:val="00E27A69"/>
    <w:rsid w:val="00E353A7"/>
    <w:rsid w:val="00E76BCD"/>
    <w:rsid w:val="00E829F4"/>
    <w:rsid w:val="00E85A83"/>
    <w:rsid w:val="00E90A6B"/>
    <w:rsid w:val="00EB24F9"/>
    <w:rsid w:val="00EC01ED"/>
    <w:rsid w:val="00EC1E12"/>
    <w:rsid w:val="00EC3C3B"/>
    <w:rsid w:val="00EC6508"/>
    <w:rsid w:val="00ED2684"/>
    <w:rsid w:val="00F21A6F"/>
    <w:rsid w:val="00F23456"/>
    <w:rsid w:val="00F3792D"/>
    <w:rsid w:val="00F42060"/>
    <w:rsid w:val="00F44B62"/>
    <w:rsid w:val="00F76C60"/>
    <w:rsid w:val="00F77933"/>
    <w:rsid w:val="00FB27AF"/>
    <w:rsid w:val="00FD66C9"/>
    <w:rsid w:val="00FE3764"/>
    <w:rsid w:val="00FE731A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D6FB1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272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Ian Crammond</cp:lastModifiedBy>
  <cp:revision>21</cp:revision>
  <cp:lastPrinted>2019-09-05T22:26:00Z</cp:lastPrinted>
  <dcterms:created xsi:type="dcterms:W3CDTF">2020-01-29T17:52:00Z</dcterms:created>
  <dcterms:modified xsi:type="dcterms:W3CDTF">2020-02-03T19:48:00Z</dcterms:modified>
</cp:coreProperties>
</file>