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</w:t>
      </w:r>
      <w:r w:rsidR="00516992">
        <w:rPr>
          <w:b/>
          <w:sz w:val="28"/>
        </w:rPr>
        <w:t>20</w:t>
      </w:r>
    </w:p>
    <w:p w:rsidR="00A671BB" w:rsidRDefault="00A671BB">
      <w:pPr>
        <w:pStyle w:val="DefaultText"/>
        <w:jc w:val="center"/>
        <w:rPr>
          <w:b/>
        </w:rPr>
      </w:pPr>
    </w:p>
    <w:p w:rsidR="00903D2E" w:rsidRDefault="004A7A9C" w:rsidP="00C323F7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4072255</wp:posOffset>
                </wp:positionV>
                <wp:extent cx="6534150" cy="2381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C323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 </w:t>
                            </w:r>
                            <w:r w:rsidR="00903D2E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] Budgeted Expenditure    [  ] Not Budgeted </w:t>
                            </w:r>
                          </w:p>
                          <w:p w:rsidR="001E4083" w:rsidRDefault="001E4083" w:rsidP="00C32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320.65pt;width:514.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">
                <v:textbox>
                  <w:txbxContent>
                    <w:p w:rsidR="001E4083" w:rsidRPr="0018238D" w:rsidRDefault="00D300F2" w:rsidP="00C323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 </w:t>
                      </w:r>
                      <w:r w:rsidR="00903D2E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 ] Budgeted Expenditure    [  ] Not Budgeted </w:t>
                      </w:r>
                    </w:p>
                    <w:p w:rsidR="001E4083" w:rsidRDefault="001E4083" w:rsidP="00C323F7"/>
                  </w:txbxContent>
                </v:textbox>
                <w10:wrap type="square"/>
              </v:shape>
            </w:pict>
          </mc:Fallback>
        </mc:AlternateContent>
      </w:r>
      <w:r w:rsidR="00E34364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795655</wp:posOffset>
                </wp:positionV>
                <wp:extent cx="6534150" cy="33813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DA" w:rsidRDefault="001E4083" w:rsidP="00B418CF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6D092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Background:</w:t>
                            </w:r>
                            <w:r w:rsidRPr="00903D2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101DA" w:rsidRPr="002101DA">
                              <w:rPr>
                                <w:i/>
                                <w:sz w:val="22"/>
                                <w:szCs w:val="22"/>
                              </w:rPr>
                              <w:t>Resolution</w:t>
                            </w:r>
                            <w:r w:rsidR="002101DA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78-10 authorized Sauk County to work with MSA </w:t>
                            </w:r>
                            <w:r w:rsidR="009A5D89">
                              <w:rPr>
                                <w:i/>
                                <w:sz w:val="22"/>
                                <w:szCs w:val="22"/>
                              </w:rPr>
                              <w:t xml:space="preserve">in the implementation and administration of Sauk County’s Community Development Block Grant-Small Cities.  This program provided $650,000 of funding for remediation of rural housing stock and capitalization of a revolving loan fund.  </w:t>
                            </w:r>
                            <w:r w:rsidR="008503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8503C6" w:rsidRPr="008503C6">
                              <w:rPr>
                                <w:i/>
                                <w:sz w:val="22"/>
                                <w:szCs w:val="22"/>
                              </w:rPr>
                              <w:t>program offers 0% interest loans for housing rehabilitation to eligible households.  The funds are available for home repairs, down payments, and closing costs at a 0% interest.  The loan amount is dependent on household size.  It is also available to landlords who rent to tenants that are low-to-moderate income.  A lien is placed on the property in the amount of the loan.  The loans are deferred payment loans, and are not repaid until the house is sold or the</w:t>
                            </w:r>
                            <w:r w:rsidR="008503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borrower no longer lives there.  </w:t>
                            </w:r>
                            <w:r w:rsidR="009A5D89">
                              <w:rPr>
                                <w:i/>
                                <w:sz w:val="22"/>
                                <w:szCs w:val="22"/>
                              </w:rPr>
                              <w:t xml:space="preserve">To date, </w:t>
                            </w:r>
                            <w:r w:rsidR="008503C6">
                              <w:rPr>
                                <w:i/>
                                <w:sz w:val="22"/>
                                <w:szCs w:val="22"/>
                              </w:rPr>
                              <w:t>43 loans have been issued, and there are currently 27 loans outstanding</w:t>
                            </w:r>
                            <w:r w:rsidR="00E04A9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totaling $480,721</w:t>
                            </w:r>
                            <w:r w:rsidR="008503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E04A98">
                              <w:rPr>
                                <w:i/>
                                <w:sz w:val="22"/>
                                <w:szCs w:val="22"/>
                              </w:rPr>
                              <w:t>The current balance available to lend is $22,075.</w:t>
                            </w:r>
                          </w:p>
                          <w:p w:rsidR="002101DA" w:rsidRDefault="002101DA" w:rsidP="00B418CF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03D2E" w:rsidRPr="000A4C47" w:rsidRDefault="00551B1A" w:rsidP="00B418CF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418CF">
                              <w:rPr>
                                <w:i/>
                                <w:sz w:val="22"/>
                                <w:szCs w:val="22"/>
                              </w:rPr>
                              <w:t xml:space="preserve">Resolution 53-12 authorized Sauk County to enter into </w:t>
                            </w:r>
                            <w:r w:rsidR="000E3AF4" w:rsidRPr="00B418CF">
                              <w:rPr>
                                <w:i/>
                                <w:sz w:val="22"/>
                                <w:szCs w:val="22"/>
                              </w:rPr>
                              <w:t>the Southern Housing County Consortium</w:t>
                            </w:r>
                            <w:r w:rsidR="00903D2E" w:rsidRPr="00B418CF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C47">
                              <w:rPr>
                                <w:i/>
                                <w:sz w:val="22"/>
                                <w:szCs w:val="22"/>
                              </w:rPr>
                              <w:t xml:space="preserve">with nine other counties </w:t>
                            </w:r>
                            <w:r w:rsidR="000E3AF4" w:rsidRPr="00B418CF">
                              <w:rPr>
                                <w:i/>
                                <w:sz w:val="22"/>
                                <w:szCs w:val="22"/>
                              </w:rPr>
                              <w:t>and into a cooperative agreement with Columbia County for the purpose of admin</w:t>
                            </w:r>
                            <w:r w:rsidR="004850E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istering CDBG </w:t>
                            </w:r>
                            <w:r w:rsidR="000A4C47">
                              <w:rPr>
                                <w:i/>
                                <w:sz w:val="22"/>
                                <w:szCs w:val="22"/>
                              </w:rPr>
                              <w:t xml:space="preserve">regional </w:t>
                            </w:r>
                            <w:r w:rsidR="004850E2">
                              <w:rPr>
                                <w:i/>
                                <w:sz w:val="22"/>
                                <w:szCs w:val="22"/>
                              </w:rPr>
                              <w:t>housing funds.</w:t>
                            </w:r>
                            <w:r w:rsidR="00B418CF" w:rsidRPr="00B418CF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MSA also administers th</w:t>
                            </w:r>
                            <w:r w:rsidR="004850E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is program </w:t>
                            </w:r>
                            <w:r w:rsidR="00B418CF" w:rsidRPr="00B418CF">
                              <w:rPr>
                                <w:i/>
                                <w:sz w:val="22"/>
                                <w:szCs w:val="22"/>
                              </w:rPr>
                              <w:t>in order to be consistent</w:t>
                            </w:r>
                            <w:r w:rsidR="004850E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and to successfully follow federal guidelines</w:t>
                            </w:r>
                            <w:r w:rsidR="00B418CF" w:rsidRPr="00B418CF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B418C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DB6005" w:rsidRDefault="00DB6005" w:rsidP="00B418C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B6005" w:rsidRPr="00DB6005" w:rsidRDefault="00DB6005" w:rsidP="00DB6005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B6005">
                              <w:rPr>
                                <w:i/>
                                <w:sz w:val="22"/>
                                <w:szCs w:val="22"/>
                              </w:rPr>
                              <w:t>Starting January 23, 2020, MSA has amended the administrative expenses and inspection services fees. Per MSA amended contract language, Sauk County will pay MSA 16% of the Revolving Loan Funds received in repayment of past CDBG Housing program loans and expended for new housing rehabilitation projects. MSA will submit a bill for 8% of the funds when a revolving loan fund deposit is made and for the remaining 8% (housing only) as the “new” RLF project funds are spent.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The fee</w:t>
                            </w:r>
                            <w:r w:rsidR="007F32EE">
                              <w:rPr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for inspection services are in the table below.</w:t>
                            </w:r>
                          </w:p>
                          <w:p w:rsidR="00DB6005" w:rsidRDefault="00DB6005" w:rsidP="00B418C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B6005" w:rsidRPr="00B418CF" w:rsidRDefault="00DB6005" w:rsidP="00B418C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E4083" w:rsidRPr="001E4083" w:rsidRDefault="001E408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0.25pt;margin-top:62.65pt;width:514.5pt;height:26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">
                <v:textbox>
                  <w:txbxContent>
                    <w:p w:rsidR="002101DA" w:rsidRDefault="001E4083" w:rsidP="00B418CF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6D0925">
                        <w:rPr>
                          <w:b/>
                          <w:i/>
                          <w:sz w:val="22"/>
                          <w:szCs w:val="22"/>
                        </w:rPr>
                        <w:t>Background:</w:t>
                      </w:r>
                      <w:r w:rsidRPr="00903D2E">
                        <w:rPr>
                          <w:b/>
                          <w:i/>
                        </w:rPr>
                        <w:t xml:space="preserve"> </w:t>
                      </w:r>
                      <w:r w:rsidR="002101DA" w:rsidRPr="002101DA">
                        <w:rPr>
                          <w:i/>
                          <w:sz w:val="22"/>
                          <w:szCs w:val="22"/>
                        </w:rPr>
                        <w:t>Resolution</w:t>
                      </w:r>
                      <w:r w:rsidR="002101DA">
                        <w:rPr>
                          <w:i/>
                          <w:sz w:val="22"/>
                          <w:szCs w:val="22"/>
                        </w:rPr>
                        <w:t xml:space="preserve"> 78-10 authorized Sauk County to work with MSA </w:t>
                      </w:r>
                      <w:r w:rsidR="009A5D89">
                        <w:rPr>
                          <w:i/>
                          <w:sz w:val="22"/>
                          <w:szCs w:val="22"/>
                        </w:rPr>
                        <w:t xml:space="preserve">in the implementation and administration of Sauk County’s Community Development Block Grant-Small Cities.  This program provided $650,000 of funding for remediation of rural housing stock and capitalization of a revolving loan fund.  </w:t>
                      </w:r>
                      <w:r w:rsidR="008503C6">
                        <w:rPr>
                          <w:i/>
                          <w:sz w:val="22"/>
                          <w:szCs w:val="22"/>
                        </w:rPr>
                        <w:t xml:space="preserve">The </w:t>
                      </w:r>
                      <w:r w:rsidR="008503C6" w:rsidRPr="008503C6">
                        <w:rPr>
                          <w:i/>
                          <w:sz w:val="22"/>
                          <w:szCs w:val="22"/>
                        </w:rPr>
                        <w:t>program offers 0% interest loans for housing rehabilitation to eligible households.  The funds are available for home repairs, down payments, and closing costs at a 0% interest.  The loan amount is dependent on household size.  It is also available to landlords who rent to tenants that are low-to-moderate income.  A lien is placed on the property in the amount of the loan.  The loans are deferred payment loans, and are not repaid until the house is sold or the</w:t>
                      </w:r>
                      <w:r w:rsidR="008503C6">
                        <w:rPr>
                          <w:i/>
                          <w:sz w:val="22"/>
                          <w:szCs w:val="22"/>
                        </w:rPr>
                        <w:t xml:space="preserve"> borrower no longer lives there.  </w:t>
                      </w:r>
                      <w:r w:rsidR="009A5D89">
                        <w:rPr>
                          <w:i/>
                          <w:sz w:val="22"/>
                          <w:szCs w:val="22"/>
                        </w:rPr>
                        <w:t xml:space="preserve">To date, </w:t>
                      </w:r>
                      <w:r w:rsidR="008503C6">
                        <w:rPr>
                          <w:i/>
                          <w:sz w:val="22"/>
                          <w:szCs w:val="22"/>
                        </w:rPr>
                        <w:t>43 loans have been issued, and there are currently 27 loans outstanding</w:t>
                      </w:r>
                      <w:r w:rsidR="00E04A98">
                        <w:rPr>
                          <w:i/>
                          <w:sz w:val="22"/>
                          <w:szCs w:val="22"/>
                        </w:rPr>
                        <w:t xml:space="preserve"> totaling $480,721</w:t>
                      </w:r>
                      <w:r w:rsidR="008503C6">
                        <w:rPr>
                          <w:i/>
                          <w:sz w:val="22"/>
                          <w:szCs w:val="22"/>
                        </w:rPr>
                        <w:t xml:space="preserve">.  </w:t>
                      </w:r>
                      <w:r w:rsidR="00E04A98">
                        <w:rPr>
                          <w:i/>
                          <w:sz w:val="22"/>
                          <w:szCs w:val="22"/>
                        </w:rPr>
                        <w:t>The current balance available to lend is $22,075.</w:t>
                      </w:r>
                    </w:p>
                    <w:p w:rsidR="002101DA" w:rsidRDefault="002101DA" w:rsidP="00B418CF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903D2E" w:rsidRPr="000A4C47" w:rsidRDefault="00551B1A" w:rsidP="00B418CF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B418CF">
                        <w:rPr>
                          <w:i/>
                          <w:sz w:val="22"/>
                          <w:szCs w:val="22"/>
                        </w:rPr>
                        <w:t xml:space="preserve">Resolution 53-12 authorized Sauk County to enter into </w:t>
                      </w:r>
                      <w:r w:rsidR="000E3AF4" w:rsidRPr="00B418CF">
                        <w:rPr>
                          <w:i/>
                          <w:sz w:val="22"/>
                          <w:szCs w:val="22"/>
                        </w:rPr>
                        <w:t>the Southern Housing County Consortium</w:t>
                      </w:r>
                      <w:r w:rsidR="00903D2E" w:rsidRPr="00B418CF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0A4C47">
                        <w:rPr>
                          <w:i/>
                          <w:sz w:val="22"/>
                          <w:szCs w:val="22"/>
                        </w:rPr>
                        <w:t xml:space="preserve">with nine other counties </w:t>
                      </w:r>
                      <w:r w:rsidR="000E3AF4" w:rsidRPr="00B418CF">
                        <w:rPr>
                          <w:i/>
                          <w:sz w:val="22"/>
                          <w:szCs w:val="22"/>
                        </w:rPr>
                        <w:t>and into a cooperative agreement with Columbia County for the purpose of admin</w:t>
                      </w:r>
                      <w:r w:rsidR="004850E2">
                        <w:rPr>
                          <w:i/>
                          <w:sz w:val="22"/>
                          <w:szCs w:val="22"/>
                        </w:rPr>
                        <w:t xml:space="preserve">istering CDBG </w:t>
                      </w:r>
                      <w:r w:rsidR="000A4C47">
                        <w:rPr>
                          <w:i/>
                          <w:sz w:val="22"/>
                          <w:szCs w:val="22"/>
                        </w:rPr>
                        <w:t xml:space="preserve">regional </w:t>
                      </w:r>
                      <w:r w:rsidR="004850E2">
                        <w:rPr>
                          <w:i/>
                          <w:sz w:val="22"/>
                          <w:szCs w:val="22"/>
                        </w:rPr>
                        <w:t>housing funds.</w:t>
                      </w:r>
                      <w:r w:rsidR="00B418CF" w:rsidRPr="00B418CF">
                        <w:rPr>
                          <w:i/>
                          <w:sz w:val="22"/>
                          <w:szCs w:val="22"/>
                        </w:rPr>
                        <w:t xml:space="preserve"> MSA also administers th</w:t>
                      </w:r>
                      <w:r w:rsidR="004850E2">
                        <w:rPr>
                          <w:i/>
                          <w:sz w:val="22"/>
                          <w:szCs w:val="22"/>
                        </w:rPr>
                        <w:t xml:space="preserve">is program </w:t>
                      </w:r>
                      <w:r w:rsidR="00B418CF" w:rsidRPr="00B418CF">
                        <w:rPr>
                          <w:i/>
                          <w:sz w:val="22"/>
                          <w:szCs w:val="22"/>
                        </w:rPr>
                        <w:t>in order to be consistent</w:t>
                      </w:r>
                      <w:r w:rsidR="004850E2">
                        <w:rPr>
                          <w:i/>
                          <w:sz w:val="22"/>
                          <w:szCs w:val="22"/>
                        </w:rPr>
                        <w:t xml:space="preserve"> and to successfully follow federal guidelines</w:t>
                      </w:r>
                      <w:r w:rsidR="00B418CF" w:rsidRPr="00B418CF">
                        <w:rPr>
                          <w:i/>
                          <w:sz w:val="22"/>
                          <w:szCs w:val="22"/>
                        </w:rPr>
                        <w:t>.</w:t>
                      </w:r>
                      <w:r w:rsidR="00B418CF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:rsidR="00DB6005" w:rsidRDefault="00DB6005" w:rsidP="00B418C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DB6005" w:rsidRPr="00DB6005" w:rsidRDefault="00DB6005" w:rsidP="00DB6005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DB6005">
                        <w:rPr>
                          <w:i/>
                          <w:sz w:val="22"/>
                          <w:szCs w:val="22"/>
                        </w:rPr>
                        <w:t>Starting January 23, 2020, MSA has amended the administrative expenses and inspection services fees. Per MSA amended contract language, Sauk County will pay MSA 16% of the Revolving Loan Funds received in repayment of past CDBG Housing program loans and expended for new housing rehabilitation projects. MSA will submit a bill for 8% of the funds when a revolving loan fund deposit is made and for the remaining 8% (housing only) as the “new” RLF project funds are spent.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The fee</w:t>
                      </w:r>
                      <w:r w:rsidR="007F32EE">
                        <w:rPr>
                          <w:i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for inspection services are in the table below.</w:t>
                      </w:r>
                    </w:p>
                    <w:p w:rsidR="00DB6005" w:rsidRDefault="00DB6005" w:rsidP="00B418C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DB6005" w:rsidRPr="00B418CF" w:rsidRDefault="00DB6005" w:rsidP="00B418C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1E4083" w:rsidRPr="001E4083" w:rsidRDefault="001E408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1B1A">
        <w:rPr>
          <w:b/>
        </w:rPr>
        <w:t xml:space="preserve">APPROVING </w:t>
      </w:r>
      <w:r w:rsidR="00516992">
        <w:rPr>
          <w:b/>
        </w:rPr>
        <w:t xml:space="preserve">AMENDMENT TO </w:t>
      </w:r>
      <w:r w:rsidR="000E3AF4" w:rsidRPr="000E3AF4">
        <w:rPr>
          <w:b/>
        </w:rPr>
        <w:t>PROFESSIONAL SERVICES AGREEMENT WITH MSA PROFESSIONAL SERVICES</w:t>
      </w:r>
      <w:r w:rsidR="000E3AF4">
        <w:rPr>
          <w:b/>
        </w:rPr>
        <w:t xml:space="preserve"> (“MSA”)</w:t>
      </w:r>
      <w:r w:rsidR="000E3AF4" w:rsidRPr="000E3AF4">
        <w:rPr>
          <w:b/>
        </w:rPr>
        <w:t xml:space="preserve"> FOR ADMINISTRATION OF THE SAUK COUNTY COMMUNITY DEVELOPMENT BLOCK GRANT REVOLVING LOAN FUND HOUSING PROGRAM</w:t>
      </w:r>
      <w:r w:rsidR="000E3AF4">
        <w:rPr>
          <w:b/>
        </w:rPr>
        <w:t xml:space="preserve"> (“CDBG”)</w:t>
      </w:r>
    </w:p>
    <w:p w:rsidR="00E353A7" w:rsidRPr="00903D2E" w:rsidRDefault="00903D2E" w:rsidP="00C323F7">
      <w:pPr>
        <w:pStyle w:val="DefaultText"/>
        <w:rPr>
          <w:b/>
        </w:rPr>
      </w:pPr>
      <w:r>
        <w:rPr>
          <w:b/>
        </w:rPr>
        <w:t xml:space="preserve">                         </w:t>
      </w:r>
      <w:bookmarkStart w:id="0" w:name="_GoBack"/>
      <w:bookmarkEnd w:id="0"/>
    </w:p>
    <w:p w:rsidR="00903D2E" w:rsidRPr="00B418CF" w:rsidRDefault="00903D2E" w:rsidP="004850E2">
      <w:pPr>
        <w:pStyle w:val="DefaultText"/>
        <w:ind w:firstLine="720"/>
        <w:jc w:val="both"/>
        <w:rPr>
          <w:sz w:val="22"/>
          <w:szCs w:val="22"/>
        </w:rPr>
      </w:pPr>
      <w:r w:rsidRPr="00B418CF">
        <w:rPr>
          <w:b/>
          <w:sz w:val="22"/>
          <w:szCs w:val="22"/>
        </w:rPr>
        <w:t xml:space="preserve">NOW, THEREFORE BE IT RESOLVED, </w:t>
      </w:r>
      <w:r w:rsidR="00A82E59" w:rsidRPr="00A82E59">
        <w:rPr>
          <w:sz w:val="22"/>
          <w:szCs w:val="22"/>
        </w:rPr>
        <w:t xml:space="preserve">that </w:t>
      </w:r>
      <w:r w:rsidRPr="00B418CF">
        <w:rPr>
          <w:sz w:val="22"/>
          <w:szCs w:val="22"/>
        </w:rPr>
        <w:t xml:space="preserve">the Sauk County Board of Supervisors, met in regular session, hereby approves </w:t>
      </w:r>
      <w:r w:rsidR="00B418CF" w:rsidRPr="00B418CF">
        <w:rPr>
          <w:sz w:val="22"/>
          <w:szCs w:val="22"/>
        </w:rPr>
        <w:t xml:space="preserve">a Professional Services Agreement </w:t>
      </w:r>
      <w:r w:rsidR="0043643D">
        <w:rPr>
          <w:sz w:val="22"/>
          <w:szCs w:val="22"/>
        </w:rPr>
        <w:t xml:space="preserve">amendment </w:t>
      </w:r>
      <w:r w:rsidR="00B418CF" w:rsidRPr="00B418CF">
        <w:rPr>
          <w:sz w:val="22"/>
          <w:szCs w:val="22"/>
        </w:rPr>
        <w:t>with MSA Professional Services for administration of the Sauk County Community Development Block Grant Revolvi</w:t>
      </w:r>
      <w:r w:rsidR="00DB6005">
        <w:rPr>
          <w:sz w:val="22"/>
          <w:szCs w:val="22"/>
        </w:rPr>
        <w:t>ng Loan Fund Housing Program</w:t>
      </w:r>
      <w:r w:rsidR="00B418CF" w:rsidRPr="00B418CF">
        <w:rPr>
          <w:sz w:val="22"/>
          <w:szCs w:val="22"/>
        </w:rPr>
        <w:t xml:space="preserve">. </w:t>
      </w:r>
    </w:p>
    <w:p w:rsidR="00903D2E" w:rsidRPr="00903D2E" w:rsidRDefault="00903D2E" w:rsidP="00903D2E">
      <w:pPr>
        <w:pStyle w:val="DefaultText"/>
        <w:rPr>
          <w:sz w:val="20"/>
        </w:rPr>
      </w:pPr>
    </w:p>
    <w:p w:rsidR="00903D2E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sz w:val="22"/>
          <w:szCs w:val="22"/>
        </w:rPr>
        <w:t xml:space="preserve">For consideration by the Sauk County Board of Supervisors on </w:t>
      </w:r>
      <w:r w:rsidR="007F32EE">
        <w:rPr>
          <w:sz w:val="22"/>
          <w:szCs w:val="22"/>
        </w:rPr>
        <w:t>February 19</w:t>
      </w:r>
      <w:r w:rsidR="004850E2">
        <w:rPr>
          <w:sz w:val="22"/>
          <w:szCs w:val="22"/>
        </w:rPr>
        <w:t>, 20</w:t>
      </w:r>
      <w:r w:rsidR="0077107E">
        <w:rPr>
          <w:sz w:val="22"/>
          <w:szCs w:val="22"/>
        </w:rPr>
        <w:t>20</w:t>
      </w:r>
      <w:r w:rsidRPr="004850E2">
        <w:rPr>
          <w:sz w:val="22"/>
          <w:szCs w:val="22"/>
        </w:rPr>
        <w:t>.</w:t>
      </w:r>
    </w:p>
    <w:p w:rsidR="00903D2E" w:rsidRPr="004850E2" w:rsidRDefault="00903D2E" w:rsidP="00903D2E">
      <w:pPr>
        <w:pStyle w:val="DefaultText"/>
        <w:rPr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b/>
          <w:sz w:val="22"/>
          <w:szCs w:val="22"/>
        </w:rPr>
      </w:pPr>
      <w:r w:rsidRPr="004850E2">
        <w:rPr>
          <w:b/>
          <w:sz w:val="22"/>
          <w:szCs w:val="22"/>
        </w:rPr>
        <w:t>EXECUTIVE AND LEGISLATIVE COMMITTEE:</w:t>
      </w:r>
    </w:p>
    <w:p w:rsidR="004850E2" w:rsidRDefault="004850E2" w:rsidP="00903D2E">
      <w:pPr>
        <w:pStyle w:val="DefaultText"/>
        <w:rPr>
          <w:b/>
          <w:sz w:val="22"/>
          <w:szCs w:val="22"/>
        </w:rPr>
      </w:pPr>
    </w:p>
    <w:p w:rsidR="004850E2" w:rsidRDefault="004850E2" w:rsidP="00903D2E">
      <w:pPr>
        <w:pStyle w:val="DefaultText"/>
        <w:rPr>
          <w:b/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sz w:val="22"/>
          <w:szCs w:val="22"/>
        </w:rPr>
        <w:t>____________________________</w:t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  <w:t>_____________________________</w:t>
      </w:r>
    </w:p>
    <w:p w:rsidR="00903D2E" w:rsidRPr="004850E2" w:rsidRDefault="00C323F7" w:rsidP="00903D2E">
      <w:pPr>
        <w:pStyle w:val="DefaultText"/>
        <w:rPr>
          <w:sz w:val="22"/>
          <w:szCs w:val="22"/>
        </w:rPr>
      </w:pPr>
      <w:r w:rsidRPr="004850E2">
        <w:rPr>
          <w:sz w:val="22"/>
          <w:szCs w:val="22"/>
        </w:rPr>
        <w:t>Peter Vedro</w:t>
      </w:r>
      <w:r w:rsidR="00903D2E" w:rsidRPr="004850E2">
        <w:rPr>
          <w:sz w:val="22"/>
          <w:szCs w:val="22"/>
        </w:rPr>
        <w:t xml:space="preserve">, Chair           </w:t>
      </w:r>
      <w:r w:rsidR="00903D2E" w:rsidRPr="004850E2">
        <w:rPr>
          <w:sz w:val="22"/>
          <w:szCs w:val="22"/>
        </w:rPr>
        <w:tab/>
      </w:r>
      <w:r w:rsidR="00903D2E" w:rsidRPr="004850E2">
        <w:rPr>
          <w:sz w:val="22"/>
          <w:szCs w:val="22"/>
        </w:rPr>
        <w:tab/>
      </w:r>
      <w:r w:rsidR="00903D2E" w:rsidRPr="004850E2">
        <w:rPr>
          <w:sz w:val="22"/>
          <w:szCs w:val="22"/>
        </w:rPr>
        <w:tab/>
      </w:r>
      <w:r w:rsidR="00903D2E" w:rsidRPr="004850E2">
        <w:rPr>
          <w:sz w:val="22"/>
          <w:szCs w:val="22"/>
        </w:rPr>
        <w:tab/>
      </w:r>
      <w:r w:rsidR="001A3D24" w:rsidRPr="004850E2">
        <w:rPr>
          <w:sz w:val="22"/>
          <w:szCs w:val="22"/>
        </w:rPr>
        <w:t>William Hambrecht</w:t>
      </w:r>
      <w:r w:rsidR="00903D2E" w:rsidRPr="004850E2">
        <w:rPr>
          <w:sz w:val="22"/>
          <w:szCs w:val="22"/>
        </w:rPr>
        <w:t>, Vice-Chair</w:t>
      </w:r>
    </w:p>
    <w:p w:rsidR="00903D2E" w:rsidRPr="004850E2" w:rsidRDefault="00903D2E" w:rsidP="00903D2E">
      <w:pPr>
        <w:pStyle w:val="DefaultText"/>
        <w:rPr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sz w:val="22"/>
          <w:szCs w:val="22"/>
        </w:rPr>
        <w:t>_____________________________</w:t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  <w:t>_____________________________</w:t>
      </w:r>
    </w:p>
    <w:p w:rsidR="00903D2E" w:rsidRPr="004850E2" w:rsidRDefault="004850E2" w:rsidP="00903D2E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Wally Czuprynko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3D24" w:rsidRPr="004850E2">
        <w:rPr>
          <w:sz w:val="22"/>
          <w:szCs w:val="22"/>
        </w:rPr>
        <w:t>Thomas Kriegl</w:t>
      </w:r>
    </w:p>
    <w:p w:rsidR="00903D2E" w:rsidRPr="004850E2" w:rsidRDefault="00903D2E" w:rsidP="00903D2E">
      <w:pPr>
        <w:pStyle w:val="DefaultText"/>
        <w:rPr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sz w:val="22"/>
          <w:szCs w:val="22"/>
        </w:rPr>
        <w:t>_____________________________</w:t>
      </w:r>
    </w:p>
    <w:p w:rsidR="00903D2E" w:rsidRPr="004850E2" w:rsidRDefault="0009134B" w:rsidP="00903D2E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David Riek</w:t>
      </w:r>
    </w:p>
    <w:p w:rsidR="001A3D24" w:rsidRPr="004850E2" w:rsidRDefault="001A3D24" w:rsidP="00903D2E">
      <w:pPr>
        <w:pStyle w:val="DefaultText"/>
        <w:rPr>
          <w:sz w:val="22"/>
          <w:szCs w:val="22"/>
        </w:rPr>
      </w:pPr>
    </w:p>
    <w:p w:rsidR="00952C31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b/>
          <w:sz w:val="22"/>
          <w:szCs w:val="22"/>
        </w:rPr>
        <w:t>Fiscal Note:</w:t>
      </w:r>
      <w:r w:rsidRPr="004850E2">
        <w:rPr>
          <w:sz w:val="22"/>
          <w:szCs w:val="22"/>
        </w:rPr>
        <w:t xml:space="preserve">  </w:t>
      </w:r>
      <w:r w:rsidR="00125544" w:rsidRPr="00125544">
        <w:rPr>
          <w:sz w:val="22"/>
          <w:szCs w:val="22"/>
        </w:rPr>
        <w:t>There is no cost to Sauk County for this service as the fees are from the CDBG monies.</w:t>
      </w:r>
    </w:p>
    <w:p w:rsidR="001001B3" w:rsidRDefault="00903D2E" w:rsidP="00903D2E">
      <w:pPr>
        <w:pStyle w:val="DefaultText"/>
        <w:rPr>
          <w:sz w:val="22"/>
          <w:szCs w:val="22"/>
        </w:rPr>
      </w:pPr>
      <w:r w:rsidRPr="004850E2">
        <w:rPr>
          <w:b/>
          <w:sz w:val="22"/>
          <w:szCs w:val="22"/>
        </w:rPr>
        <w:t>MIS Note:</w:t>
      </w:r>
      <w:r w:rsidRPr="004850E2">
        <w:rPr>
          <w:sz w:val="22"/>
          <w:szCs w:val="22"/>
        </w:rPr>
        <w:t xml:space="preserve">  None.</w:t>
      </w:r>
    </w:p>
    <w:p w:rsidR="00DB6005" w:rsidRDefault="00DB6005" w:rsidP="00903D2E">
      <w:pPr>
        <w:pStyle w:val="Default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8"/>
        <w:gridCol w:w="1435"/>
      </w:tblGrid>
      <w:tr w:rsidR="00DB6005" w:rsidRPr="00871424" w:rsidTr="00871424">
        <w:tc>
          <w:tcPr>
            <w:tcW w:w="7128" w:type="dxa"/>
            <w:shd w:val="clear" w:color="auto" w:fill="auto"/>
          </w:tcPr>
          <w:p w:rsidR="00DB6005" w:rsidRPr="00DB6005" w:rsidRDefault="00DB6005" w:rsidP="00871424">
            <w:pPr>
              <w:tabs>
                <w:tab w:val="left" w:pos="720"/>
                <w:tab w:val="left" w:pos="1620"/>
              </w:tabs>
              <w:overflowPunct/>
              <w:autoSpaceDE/>
              <w:autoSpaceDN/>
              <w:adjustRightInd/>
              <w:ind w:right="288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B6005">
              <w:rPr>
                <w:rFonts w:ascii="Arial" w:hAnsi="Arial" w:cs="Arial"/>
                <w:sz w:val="24"/>
                <w:szCs w:val="24"/>
              </w:rPr>
              <w:t>Initial Program Inspection</w:t>
            </w:r>
          </w:p>
        </w:tc>
        <w:tc>
          <w:tcPr>
            <w:tcW w:w="1435" w:type="dxa"/>
            <w:shd w:val="clear" w:color="auto" w:fill="auto"/>
          </w:tcPr>
          <w:p w:rsidR="00DB6005" w:rsidRPr="00DB6005" w:rsidRDefault="00DB6005" w:rsidP="00871424">
            <w:pPr>
              <w:tabs>
                <w:tab w:val="left" w:pos="720"/>
                <w:tab w:val="left" w:pos="1620"/>
              </w:tabs>
              <w:overflowPunct/>
              <w:autoSpaceDE/>
              <w:autoSpaceDN/>
              <w:adjustRightInd/>
              <w:ind w:right="288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B6005">
              <w:rPr>
                <w:rFonts w:ascii="Arial" w:hAnsi="Arial" w:cs="Arial"/>
                <w:sz w:val="24"/>
                <w:szCs w:val="24"/>
              </w:rPr>
              <w:t>$275.00</w:t>
            </w:r>
          </w:p>
        </w:tc>
      </w:tr>
      <w:tr w:rsidR="00DB6005" w:rsidRPr="00871424" w:rsidTr="00871424">
        <w:tc>
          <w:tcPr>
            <w:tcW w:w="7128" w:type="dxa"/>
            <w:shd w:val="clear" w:color="auto" w:fill="auto"/>
          </w:tcPr>
          <w:p w:rsidR="00DB6005" w:rsidRPr="00DB6005" w:rsidRDefault="00DB6005" w:rsidP="00871424">
            <w:pPr>
              <w:tabs>
                <w:tab w:val="left" w:pos="720"/>
                <w:tab w:val="left" w:pos="1620"/>
              </w:tabs>
              <w:overflowPunct/>
              <w:autoSpaceDE/>
              <w:autoSpaceDN/>
              <w:adjustRightInd/>
              <w:ind w:right="288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B6005">
              <w:rPr>
                <w:rFonts w:ascii="Arial" w:hAnsi="Arial" w:cs="Arial"/>
                <w:sz w:val="24"/>
                <w:szCs w:val="24"/>
              </w:rPr>
              <w:t>Risk Assessment, Lab Fees and 2 Copies of the Report</w:t>
            </w:r>
          </w:p>
        </w:tc>
        <w:tc>
          <w:tcPr>
            <w:tcW w:w="1435" w:type="dxa"/>
            <w:shd w:val="clear" w:color="auto" w:fill="auto"/>
          </w:tcPr>
          <w:p w:rsidR="00DB6005" w:rsidRPr="00DB6005" w:rsidRDefault="00DB6005" w:rsidP="00871424">
            <w:pPr>
              <w:tabs>
                <w:tab w:val="left" w:pos="720"/>
                <w:tab w:val="left" w:pos="1620"/>
              </w:tabs>
              <w:overflowPunct/>
              <w:autoSpaceDE/>
              <w:autoSpaceDN/>
              <w:adjustRightInd/>
              <w:ind w:right="288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B6005">
              <w:rPr>
                <w:rFonts w:ascii="Arial" w:hAnsi="Arial" w:cs="Arial"/>
                <w:sz w:val="24"/>
                <w:szCs w:val="24"/>
              </w:rPr>
              <w:t>$475.00</w:t>
            </w:r>
          </w:p>
        </w:tc>
      </w:tr>
      <w:tr w:rsidR="00DB6005" w:rsidRPr="00871424" w:rsidTr="00871424">
        <w:tc>
          <w:tcPr>
            <w:tcW w:w="7128" w:type="dxa"/>
            <w:shd w:val="clear" w:color="auto" w:fill="auto"/>
          </w:tcPr>
          <w:p w:rsidR="00DB6005" w:rsidRPr="00DB6005" w:rsidRDefault="00DB6005" w:rsidP="00871424">
            <w:pPr>
              <w:tabs>
                <w:tab w:val="left" w:pos="720"/>
                <w:tab w:val="left" w:pos="1620"/>
              </w:tabs>
              <w:overflowPunct/>
              <w:autoSpaceDE/>
              <w:autoSpaceDN/>
              <w:adjustRightInd/>
              <w:ind w:right="288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B6005">
              <w:rPr>
                <w:rFonts w:ascii="Arial" w:hAnsi="Arial" w:cs="Arial"/>
                <w:sz w:val="24"/>
                <w:szCs w:val="24"/>
              </w:rPr>
              <w:t>All Interim Inspections and the Final Project Inspection</w:t>
            </w:r>
          </w:p>
        </w:tc>
        <w:tc>
          <w:tcPr>
            <w:tcW w:w="1435" w:type="dxa"/>
            <w:shd w:val="clear" w:color="auto" w:fill="auto"/>
          </w:tcPr>
          <w:p w:rsidR="00DB6005" w:rsidRPr="00DB6005" w:rsidRDefault="00DB6005" w:rsidP="00871424">
            <w:pPr>
              <w:tabs>
                <w:tab w:val="left" w:pos="720"/>
                <w:tab w:val="left" w:pos="1620"/>
              </w:tabs>
              <w:overflowPunct/>
              <w:autoSpaceDE/>
              <w:autoSpaceDN/>
              <w:adjustRightInd/>
              <w:ind w:right="288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B6005">
              <w:rPr>
                <w:rFonts w:ascii="Arial" w:hAnsi="Arial" w:cs="Arial"/>
                <w:sz w:val="24"/>
                <w:szCs w:val="24"/>
              </w:rPr>
              <w:t>$250.00</w:t>
            </w:r>
          </w:p>
        </w:tc>
      </w:tr>
      <w:tr w:rsidR="00DB6005" w:rsidRPr="00871424" w:rsidTr="00871424">
        <w:tc>
          <w:tcPr>
            <w:tcW w:w="7128" w:type="dxa"/>
            <w:shd w:val="clear" w:color="auto" w:fill="auto"/>
          </w:tcPr>
          <w:p w:rsidR="00DB6005" w:rsidRPr="00DB6005" w:rsidRDefault="00DB6005" w:rsidP="00871424">
            <w:pPr>
              <w:tabs>
                <w:tab w:val="left" w:pos="720"/>
                <w:tab w:val="left" w:pos="1620"/>
              </w:tabs>
              <w:overflowPunct/>
              <w:autoSpaceDE/>
              <w:autoSpaceDN/>
              <w:adjustRightInd/>
              <w:ind w:right="11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B6005">
              <w:rPr>
                <w:rFonts w:ascii="Arial" w:hAnsi="Arial" w:cs="Arial"/>
                <w:sz w:val="24"/>
                <w:szCs w:val="24"/>
              </w:rPr>
              <w:lastRenderedPageBreak/>
              <w:t>Clearance Testing, Required Notifications &amp; Laboratory Fees</w:t>
            </w:r>
          </w:p>
        </w:tc>
        <w:tc>
          <w:tcPr>
            <w:tcW w:w="1435" w:type="dxa"/>
            <w:shd w:val="clear" w:color="auto" w:fill="auto"/>
          </w:tcPr>
          <w:p w:rsidR="00DB6005" w:rsidRPr="00DB6005" w:rsidRDefault="00DB6005" w:rsidP="00871424">
            <w:pPr>
              <w:tabs>
                <w:tab w:val="left" w:pos="720"/>
                <w:tab w:val="left" w:pos="1620"/>
              </w:tabs>
              <w:overflowPunct/>
              <w:autoSpaceDE/>
              <w:autoSpaceDN/>
              <w:adjustRightInd/>
              <w:ind w:right="288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B6005">
              <w:rPr>
                <w:rFonts w:ascii="Arial" w:hAnsi="Arial" w:cs="Arial"/>
                <w:sz w:val="24"/>
                <w:szCs w:val="24"/>
              </w:rPr>
              <w:t>$250.00</w:t>
            </w:r>
          </w:p>
        </w:tc>
      </w:tr>
    </w:tbl>
    <w:p w:rsidR="00DB6005" w:rsidRPr="004850E2" w:rsidRDefault="00DB6005" w:rsidP="00903D2E">
      <w:pPr>
        <w:pStyle w:val="DefaultText"/>
        <w:rPr>
          <w:sz w:val="22"/>
          <w:szCs w:val="22"/>
        </w:rPr>
      </w:pPr>
    </w:p>
    <w:sectPr w:rsidR="00DB6005" w:rsidRPr="004850E2" w:rsidSect="00903D2E">
      <w:pgSz w:w="12240" w:h="15840"/>
      <w:pgMar w:top="864" w:right="1440" w:bottom="288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A4" w:rsidRDefault="009616A4">
      <w:r>
        <w:separator/>
      </w:r>
    </w:p>
  </w:endnote>
  <w:endnote w:type="continuationSeparator" w:id="0">
    <w:p w:rsidR="009616A4" w:rsidRDefault="0096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A4" w:rsidRDefault="009616A4">
      <w:r>
        <w:separator/>
      </w:r>
    </w:p>
  </w:footnote>
  <w:footnote w:type="continuationSeparator" w:id="0">
    <w:p w:rsidR="009616A4" w:rsidRDefault="0096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84DF0"/>
    <w:rsid w:val="0009134B"/>
    <w:rsid w:val="000A4C47"/>
    <w:rsid w:val="000B79FF"/>
    <w:rsid w:val="000D6495"/>
    <w:rsid w:val="000E3AF4"/>
    <w:rsid w:val="001001B3"/>
    <w:rsid w:val="00111E27"/>
    <w:rsid w:val="00125544"/>
    <w:rsid w:val="001319F5"/>
    <w:rsid w:val="00136D1E"/>
    <w:rsid w:val="0015743E"/>
    <w:rsid w:val="00166E27"/>
    <w:rsid w:val="00193826"/>
    <w:rsid w:val="001A3D24"/>
    <w:rsid w:val="001E1D83"/>
    <w:rsid w:val="001E4083"/>
    <w:rsid w:val="001F3978"/>
    <w:rsid w:val="002101DA"/>
    <w:rsid w:val="003149B3"/>
    <w:rsid w:val="00373B31"/>
    <w:rsid w:val="0043643D"/>
    <w:rsid w:val="004850E2"/>
    <w:rsid w:val="004A7A9C"/>
    <w:rsid w:val="00516992"/>
    <w:rsid w:val="00550E1A"/>
    <w:rsid w:val="00551B1A"/>
    <w:rsid w:val="00557F3A"/>
    <w:rsid w:val="005D163A"/>
    <w:rsid w:val="006D0925"/>
    <w:rsid w:val="00724305"/>
    <w:rsid w:val="00747818"/>
    <w:rsid w:val="00763AA9"/>
    <w:rsid w:val="0077107E"/>
    <w:rsid w:val="007910D2"/>
    <w:rsid w:val="007D60BD"/>
    <w:rsid w:val="007F32EE"/>
    <w:rsid w:val="008503C6"/>
    <w:rsid w:val="00871424"/>
    <w:rsid w:val="00876B91"/>
    <w:rsid w:val="008D00C1"/>
    <w:rsid w:val="008F77A8"/>
    <w:rsid w:val="00903D2E"/>
    <w:rsid w:val="00952C31"/>
    <w:rsid w:val="009616A4"/>
    <w:rsid w:val="00976515"/>
    <w:rsid w:val="009A5D89"/>
    <w:rsid w:val="009D5159"/>
    <w:rsid w:val="00A446AE"/>
    <w:rsid w:val="00A52BF3"/>
    <w:rsid w:val="00A54045"/>
    <w:rsid w:val="00A671BB"/>
    <w:rsid w:val="00A768A1"/>
    <w:rsid w:val="00A82E59"/>
    <w:rsid w:val="00B418CF"/>
    <w:rsid w:val="00B620BB"/>
    <w:rsid w:val="00B62C05"/>
    <w:rsid w:val="00B73B46"/>
    <w:rsid w:val="00B7537F"/>
    <w:rsid w:val="00BE2690"/>
    <w:rsid w:val="00C30082"/>
    <w:rsid w:val="00C323F7"/>
    <w:rsid w:val="00C4616B"/>
    <w:rsid w:val="00CD5436"/>
    <w:rsid w:val="00D300F2"/>
    <w:rsid w:val="00D77509"/>
    <w:rsid w:val="00DB6005"/>
    <w:rsid w:val="00DC0B64"/>
    <w:rsid w:val="00E04A98"/>
    <w:rsid w:val="00E27A69"/>
    <w:rsid w:val="00E313DF"/>
    <w:rsid w:val="00E34364"/>
    <w:rsid w:val="00E353A7"/>
    <w:rsid w:val="00E76BCD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D6AB4-AA36-41C8-A7F7-B6E0AB88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1142</Characters>
  <Application>Microsoft Office Word</Application>
  <DocSecurity>4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2</cp:revision>
  <cp:lastPrinted>2009-09-09T15:40:00Z</cp:lastPrinted>
  <dcterms:created xsi:type="dcterms:W3CDTF">2020-02-04T21:39:00Z</dcterms:created>
  <dcterms:modified xsi:type="dcterms:W3CDTF">2020-02-04T21:39:00Z</dcterms:modified>
</cp:coreProperties>
</file>