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28FD0" w14:textId="0BCD826F" w:rsidR="00BA7B81" w:rsidRPr="00AF6CCB" w:rsidRDefault="00CC1D24" w:rsidP="00AF6CCB">
      <w:pPr>
        <w:pStyle w:val="NoSpacing"/>
        <w:jc w:val="center"/>
        <w:rPr>
          <w:b/>
          <w:bCs/>
        </w:rPr>
      </w:pPr>
      <w:r w:rsidRPr="00AF6CCB">
        <w:rPr>
          <w:b/>
          <w:bCs/>
        </w:rPr>
        <w:t>MEMORANDUM OF UNDERSTANDING</w:t>
      </w:r>
    </w:p>
    <w:p w14:paraId="0A0D232E" w14:textId="661195B8" w:rsidR="00BA7B81" w:rsidRPr="00AF6CCB" w:rsidRDefault="00CC1D24" w:rsidP="00AF6CCB">
      <w:pPr>
        <w:pStyle w:val="NoSpacing"/>
        <w:jc w:val="center"/>
        <w:rPr>
          <w:b/>
          <w:bCs/>
        </w:rPr>
      </w:pPr>
      <w:r w:rsidRPr="00AF6CCB">
        <w:rPr>
          <w:b/>
          <w:bCs/>
        </w:rPr>
        <w:t>BETWEEN</w:t>
      </w:r>
    </w:p>
    <w:p w14:paraId="2E6FA303" w14:textId="157ABE71" w:rsidR="00AF6CCB" w:rsidRPr="00AF6CCB" w:rsidRDefault="00BD1C04" w:rsidP="00AF6CCB">
      <w:pPr>
        <w:pStyle w:val="NoSpacing"/>
        <w:jc w:val="center"/>
        <w:rPr>
          <w:b/>
          <w:bCs/>
        </w:rPr>
      </w:pPr>
      <w:r>
        <w:rPr>
          <w:b/>
          <w:bCs/>
        </w:rPr>
        <w:t>UNITEDHEALTHCARE COMMUNITY PLAN (HMO)</w:t>
      </w:r>
    </w:p>
    <w:p w14:paraId="55B1ED01" w14:textId="4BA992ED" w:rsidR="00BA7B81" w:rsidRPr="00AF6CCB" w:rsidRDefault="00AF6CCB" w:rsidP="00AF6CCB">
      <w:pPr>
        <w:pStyle w:val="NoSpacing"/>
        <w:jc w:val="center"/>
        <w:rPr>
          <w:b/>
          <w:bCs/>
        </w:rPr>
      </w:pPr>
      <w:r w:rsidRPr="00AF6CCB">
        <w:rPr>
          <w:b/>
          <w:bCs/>
        </w:rPr>
        <w:t>A</w:t>
      </w:r>
      <w:r w:rsidR="00CC1D24" w:rsidRPr="00AF6CCB">
        <w:rPr>
          <w:b/>
          <w:bCs/>
        </w:rPr>
        <w:t>ND</w:t>
      </w:r>
    </w:p>
    <w:p w14:paraId="25DE2DA9" w14:textId="176CF601" w:rsidR="00BA7B81" w:rsidRPr="00AF6CCB" w:rsidRDefault="0075041D" w:rsidP="00AF6CCB">
      <w:pPr>
        <w:pStyle w:val="NoSpacing"/>
        <w:jc w:val="center"/>
        <w:rPr>
          <w:b/>
          <w:bCs/>
        </w:rPr>
      </w:pPr>
      <w:r>
        <w:rPr>
          <w:b/>
          <w:bCs/>
        </w:rPr>
        <w:t>Sauk County WIC</w:t>
      </w:r>
    </w:p>
    <w:p w14:paraId="4F66F229" w14:textId="77777777" w:rsidR="005E48E6" w:rsidRDefault="005E48E6">
      <w:pPr>
        <w:spacing w:after="252" w:line="259" w:lineRule="auto"/>
        <w:ind w:left="28" w:right="2" w:hanging="10"/>
        <w:jc w:val="center"/>
      </w:pPr>
    </w:p>
    <w:p w14:paraId="578A6E41" w14:textId="2A6577C1" w:rsidR="00BA7B81" w:rsidRDefault="00CC1D24">
      <w:pPr>
        <w:ind w:left="0" w:firstLine="0"/>
      </w:pPr>
      <w:r>
        <w:t xml:space="preserve">The intent of this Agreement is to collaborate between </w:t>
      </w:r>
      <w:r w:rsidR="00FA1868">
        <w:softHyphen/>
      </w:r>
      <w:r w:rsidR="00FA1868">
        <w:softHyphen/>
      </w:r>
      <w:r w:rsidR="00FA1868">
        <w:softHyphen/>
      </w:r>
      <w:r w:rsidR="00FA1868">
        <w:softHyphen/>
      </w:r>
      <w:r w:rsidR="00FA1868">
        <w:softHyphen/>
      </w:r>
      <w:r w:rsidR="00FA1868">
        <w:softHyphen/>
      </w:r>
      <w:r w:rsidR="00FA1868">
        <w:softHyphen/>
      </w:r>
      <w:r w:rsidR="00FA1868">
        <w:softHyphen/>
      </w:r>
      <w:r w:rsidR="00FA1868">
        <w:softHyphen/>
      </w:r>
      <w:r w:rsidR="00FA1868">
        <w:softHyphen/>
      </w:r>
      <w:r w:rsidR="00FA1868">
        <w:softHyphen/>
      </w:r>
      <w:r w:rsidR="00FA1868">
        <w:softHyphen/>
      </w:r>
      <w:r w:rsidR="00FA1868">
        <w:softHyphen/>
      </w:r>
      <w:r w:rsidR="00855027">
        <w:t>Sauk County</w:t>
      </w:r>
      <w:r w:rsidR="00FA1868">
        <w:t xml:space="preserve"> </w:t>
      </w:r>
      <w:r>
        <w:t xml:space="preserve">WIC </w:t>
      </w:r>
      <w:r w:rsidR="00855027">
        <w:t>program</w:t>
      </w:r>
      <w:r>
        <w:t xml:space="preserve"> and </w:t>
      </w:r>
      <w:r>
        <w:rPr>
          <w:b/>
        </w:rPr>
        <w:t>UnitedHealthcare Community Plan</w:t>
      </w:r>
      <w:r>
        <w:t xml:space="preserve"> HMO regarding members of </w:t>
      </w:r>
      <w:r>
        <w:rPr>
          <w:b/>
        </w:rPr>
        <w:t>United Healthcare Community Plan</w:t>
      </w:r>
      <w:r>
        <w:t xml:space="preserve"> HMO. </w:t>
      </w:r>
    </w:p>
    <w:p w14:paraId="74B4A6DA" w14:textId="77777777" w:rsidR="00BA7B81" w:rsidRDefault="00CC1D24">
      <w:pPr>
        <w:spacing w:after="252" w:line="259" w:lineRule="auto"/>
        <w:ind w:left="-5" w:hanging="10"/>
      </w:pPr>
      <w:r>
        <w:rPr>
          <w:b/>
        </w:rPr>
        <w:t xml:space="preserve">The Local WIC Agency agrees to: </w:t>
      </w:r>
    </w:p>
    <w:p w14:paraId="5171E0F8" w14:textId="77777777" w:rsidR="00BA7B81" w:rsidRDefault="00CC1D24">
      <w:pPr>
        <w:numPr>
          <w:ilvl w:val="0"/>
          <w:numId w:val="1"/>
        </w:numPr>
        <w:ind w:hanging="360"/>
      </w:pPr>
      <w:r>
        <w:t>Cooperate and communicate with HMO to ensure appropriate services of WIC participants of the HMO.</w:t>
      </w:r>
    </w:p>
    <w:p w14:paraId="18D079F7" w14:textId="77777777" w:rsidR="00BA7B81" w:rsidRDefault="00CC1D24">
      <w:pPr>
        <w:numPr>
          <w:ilvl w:val="0"/>
          <w:numId w:val="1"/>
        </w:numPr>
        <w:ind w:hanging="360"/>
      </w:pPr>
      <w:r>
        <w:t xml:space="preserve">Make available to HMO members non-billable services which </w:t>
      </w:r>
      <w:r w:rsidRPr="00266799">
        <w:rPr>
          <w:b/>
          <w:bCs/>
          <w:u w:val="single"/>
        </w:rPr>
        <w:t>may</w:t>
      </w:r>
      <w:r>
        <w:t xml:space="preserve"> include one or more of the following:</w:t>
      </w:r>
    </w:p>
    <w:p w14:paraId="24B5132C" w14:textId="4999F3CD" w:rsidR="00347EFB" w:rsidRPr="00D671E6" w:rsidRDefault="00AB30B3" w:rsidP="00855027">
      <w:pPr>
        <w:pStyle w:val="ListParagraph"/>
        <w:numPr>
          <w:ilvl w:val="0"/>
          <w:numId w:val="9"/>
        </w:numPr>
        <w:spacing w:after="0" w:line="250" w:lineRule="auto"/>
        <w:ind w:right="1728"/>
      </w:pPr>
      <w:r w:rsidRPr="00D671E6">
        <w:t>I</w:t>
      </w:r>
      <w:r w:rsidR="00CC1D24" w:rsidRPr="00D671E6">
        <w:t>mmunization screening</w:t>
      </w:r>
      <w:r w:rsidR="000F1880" w:rsidRPr="00D671E6">
        <w:t xml:space="preserve"> and Health Ne</w:t>
      </w:r>
      <w:r w:rsidR="00CB5B46" w:rsidRPr="00D671E6">
        <w:t>ed Assessments</w:t>
      </w:r>
      <w:r w:rsidR="00CC1D24" w:rsidRPr="00D671E6">
        <w:t xml:space="preserve"> </w:t>
      </w:r>
    </w:p>
    <w:p w14:paraId="79398041" w14:textId="6BD9B916" w:rsidR="00AB30B3" w:rsidRPr="00D671E6" w:rsidRDefault="00C1477E" w:rsidP="00855027">
      <w:pPr>
        <w:pStyle w:val="ListParagraph"/>
        <w:numPr>
          <w:ilvl w:val="0"/>
          <w:numId w:val="9"/>
        </w:numPr>
        <w:spacing w:after="0" w:line="250" w:lineRule="auto"/>
        <w:ind w:right="720"/>
      </w:pPr>
      <w:r w:rsidRPr="00D671E6">
        <w:t>Nutrition Screening</w:t>
      </w:r>
      <w:r w:rsidR="00AB30B3" w:rsidRPr="00D671E6">
        <w:t xml:space="preserve"> and </w:t>
      </w:r>
      <w:r w:rsidR="00CB5B46" w:rsidRPr="00D671E6">
        <w:t xml:space="preserve">Food Support </w:t>
      </w:r>
      <w:r w:rsidR="00E66A8B" w:rsidRPr="00D671E6">
        <w:t>C</w:t>
      </w:r>
      <w:r w:rsidR="00CB5B46" w:rsidRPr="00D671E6">
        <w:t>ounseling</w:t>
      </w:r>
    </w:p>
    <w:p w14:paraId="0BBF9CF9" w14:textId="706845ED" w:rsidR="00AA6251" w:rsidRDefault="00AA6251" w:rsidP="00855027">
      <w:pPr>
        <w:pStyle w:val="ListParagraph"/>
        <w:numPr>
          <w:ilvl w:val="0"/>
          <w:numId w:val="9"/>
        </w:numPr>
        <w:spacing w:after="0" w:line="250" w:lineRule="auto"/>
        <w:ind w:right="1440"/>
      </w:pPr>
      <w:r w:rsidRPr="00D671E6">
        <w:t>B</w:t>
      </w:r>
      <w:r w:rsidR="00E21A4E" w:rsidRPr="00D671E6">
        <w:t xml:space="preserve">reast </w:t>
      </w:r>
      <w:r w:rsidR="00CC1D24" w:rsidRPr="00D671E6">
        <w:t>feeding</w:t>
      </w:r>
      <w:r w:rsidR="00E66A8B" w:rsidRPr="00D671E6">
        <w:t xml:space="preserve"> education,</w:t>
      </w:r>
      <w:r w:rsidR="00CC1D24" w:rsidRPr="00D671E6">
        <w:t xml:space="preserve"> promotion and </w:t>
      </w:r>
      <w:proofErr w:type="gramStart"/>
      <w:r w:rsidR="00CC1D24" w:rsidRPr="00D671E6">
        <w:t>support;</w:t>
      </w:r>
      <w:proofErr w:type="gramEnd"/>
    </w:p>
    <w:p w14:paraId="6B4F772D" w14:textId="77777777" w:rsidR="00855027" w:rsidRPr="00D671E6" w:rsidRDefault="00855027" w:rsidP="00855027">
      <w:pPr>
        <w:spacing w:after="0" w:line="250" w:lineRule="auto"/>
        <w:ind w:right="1440" w:firstLine="335"/>
      </w:pPr>
    </w:p>
    <w:p w14:paraId="0A691262" w14:textId="5BBDBD0E" w:rsidR="00BA7B81" w:rsidRDefault="00CC1D24">
      <w:pPr>
        <w:ind w:left="720" w:firstLine="0"/>
      </w:pPr>
      <w:r>
        <w:t xml:space="preserve">Local WIC Agency shall only provide those services to HMO members as determined appropriate at the time of the WIC visit. </w:t>
      </w:r>
    </w:p>
    <w:p w14:paraId="7BF302E1" w14:textId="77777777" w:rsidR="00BA7B81" w:rsidRDefault="00CC1D24">
      <w:pPr>
        <w:numPr>
          <w:ilvl w:val="0"/>
          <w:numId w:val="1"/>
        </w:numPr>
        <w:spacing w:after="273" w:line="241" w:lineRule="auto"/>
        <w:ind w:hanging="360"/>
      </w:pPr>
      <w:r>
        <w:t>Refer to and coordinate services with the primary care provider (PCP) of the member as needed according to WIC policies and guidelines, using signed consent when required per WIC confidentiality policies.</w:t>
      </w:r>
    </w:p>
    <w:p w14:paraId="34C2644E" w14:textId="77777777" w:rsidR="00BA7B81" w:rsidRDefault="00CC1D24">
      <w:pPr>
        <w:numPr>
          <w:ilvl w:val="0"/>
          <w:numId w:val="1"/>
        </w:numPr>
        <w:ind w:hanging="360"/>
      </w:pPr>
      <w:r>
        <w:t>Give appropriate assistance to member who expresses difficulty in gaining access to HMO and/or to the PCP.</w:t>
      </w:r>
    </w:p>
    <w:p w14:paraId="208ED3D6" w14:textId="77777777" w:rsidR="00BA7B81" w:rsidRDefault="00CC1D24">
      <w:pPr>
        <w:numPr>
          <w:ilvl w:val="0"/>
          <w:numId w:val="1"/>
        </w:numPr>
        <w:ind w:hanging="360"/>
      </w:pPr>
      <w:r>
        <w:t>Encourage members to seek medical care through HMO.</w:t>
      </w:r>
    </w:p>
    <w:p w14:paraId="284CF0F7" w14:textId="5DC850F4" w:rsidR="005E48E6" w:rsidRDefault="00CC1D24" w:rsidP="00266799">
      <w:pPr>
        <w:numPr>
          <w:ilvl w:val="0"/>
          <w:numId w:val="1"/>
        </w:numPr>
        <w:spacing w:after="539"/>
        <w:ind w:hanging="360"/>
      </w:pPr>
      <w:r>
        <w:t>Provide agency contact information to the HMO and notify the HMO of any changes.</w:t>
      </w:r>
    </w:p>
    <w:p w14:paraId="68D68FC2" w14:textId="77777777" w:rsidR="00266799" w:rsidRDefault="00266799" w:rsidP="00111587">
      <w:pPr>
        <w:spacing w:after="539"/>
        <w:ind w:left="705" w:firstLine="0"/>
      </w:pPr>
    </w:p>
    <w:p w14:paraId="12A6224C" w14:textId="77777777" w:rsidR="00BA7B81" w:rsidRDefault="00CC1D24">
      <w:pPr>
        <w:spacing w:after="252" w:line="259" w:lineRule="auto"/>
        <w:ind w:left="-5" w:hanging="10"/>
      </w:pPr>
      <w:r>
        <w:rPr>
          <w:b/>
        </w:rPr>
        <w:t xml:space="preserve">HMO agrees to: </w:t>
      </w:r>
    </w:p>
    <w:p w14:paraId="0A7E7E80" w14:textId="77777777" w:rsidR="00BA7B81" w:rsidRDefault="00CC1D24">
      <w:pPr>
        <w:numPr>
          <w:ilvl w:val="0"/>
          <w:numId w:val="2"/>
        </w:numPr>
        <w:ind w:hanging="360"/>
      </w:pPr>
      <w:r>
        <w:t xml:space="preserve">Refer all WIC categorically eligible HMO members to the Local WIC Agency. This includes pregnant women and children under five years old. This may involve case </w:t>
      </w:r>
      <w:r>
        <w:lastRenderedPageBreak/>
        <w:t xml:space="preserve">managers who call HMO </w:t>
      </w:r>
      <w:proofErr w:type="gramStart"/>
      <w:r>
        <w:t>members, and</w:t>
      </w:r>
      <w:proofErr w:type="gramEnd"/>
      <w:r>
        <w:t xml:space="preserve"> ensuring providers in the contracted network are educated about making referrals to WIC.</w:t>
      </w:r>
    </w:p>
    <w:p w14:paraId="31C7B384" w14:textId="77777777" w:rsidR="00BA7B81" w:rsidRDefault="00CC1D24">
      <w:pPr>
        <w:numPr>
          <w:ilvl w:val="0"/>
          <w:numId w:val="2"/>
        </w:numPr>
        <w:ind w:hanging="360"/>
      </w:pPr>
      <w:r>
        <w:t>Provide Local WIC Agency with the referral processes and point of contact for questions to be used when HMO members require assistance from the HMO.</w:t>
      </w:r>
    </w:p>
    <w:p w14:paraId="553E9F93" w14:textId="77777777" w:rsidR="00BA7B81" w:rsidRDefault="00CC1D24">
      <w:pPr>
        <w:numPr>
          <w:ilvl w:val="0"/>
          <w:numId w:val="2"/>
        </w:numPr>
        <w:spacing w:after="311"/>
        <w:ind w:hanging="360"/>
      </w:pPr>
      <w:r>
        <w:t>Encourage HMO providers to arrange an appointment for the HMO member within two weeks of the Local WIC Agency referral if the member has not been under care.</w:t>
      </w:r>
    </w:p>
    <w:p w14:paraId="5E7CB553" w14:textId="77777777" w:rsidR="00BA7B81" w:rsidRDefault="00CC1D24">
      <w:pPr>
        <w:numPr>
          <w:ilvl w:val="0"/>
          <w:numId w:val="2"/>
        </w:numPr>
        <w:ind w:hanging="360"/>
      </w:pPr>
      <w:r>
        <w:t>Provide, on request, feedback to the Local WIC Agency regarding the HMO member’s follow-up or lack of follow-up with the PCP.</w:t>
      </w:r>
    </w:p>
    <w:p w14:paraId="714512B5" w14:textId="53F3B5A1" w:rsidR="00BA7B81" w:rsidRDefault="00111587">
      <w:pPr>
        <w:spacing w:after="597"/>
        <w:ind w:left="821"/>
      </w:pPr>
      <w:r>
        <w:t>5</w:t>
      </w:r>
      <w:r w:rsidR="00CC1D24">
        <w:t>. Provide HMO contact information to the Local WIC Agency and notify the Local WIC Agency of any changes.</w:t>
      </w:r>
    </w:p>
    <w:p w14:paraId="01EB96A1" w14:textId="55AB3DDD" w:rsidR="00BA7B81" w:rsidRDefault="00855027">
      <w:pPr>
        <w:spacing w:after="218" w:line="259" w:lineRule="auto"/>
        <w:ind w:left="392" w:hanging="10"/>
      </w:pPr>
      <w:r>
        <w:rPr>
          <w:rFonts w:ascii="Arial" w:eastAsia="Arial" w:hAnsi="Arial" w:cs="Arial"/>
          <w:sz w:val="28"/>
        </w:rPr>
        <w:t>Sauk County</w:t>
      </w:r>
      <w:r w:rsidR="00CC1D24">
        <w:rPr>
          <w:b/>
        </w:rPr>
        <w:t xml:space="preserve"> WIC </w:t>
      </w:r>
      <w:r>
        <w:rPr>
          <w:b/>
        </w:rPr>
        <w:t>Program</w:t>
      </w:r>
      <w:r w:rsidR="00CC1D24">
        <w:rPr>
          <w:b/>
        </w:rPr>
        <w:t xml:space="preserve"> provides Blood Lead Screening Services </w:t>
      </w:r>
    </w:p>
    <w:p w14:paraId="45FE4F1E" w14:textId="77777777" w:rsidR="00BA7B81" w:rsidRDefault="00CC1D24">
      <w:pPr>
        <w:spacing w:after="252" w:line="259" w:lineRule="auto"/>
        <w:ind w:left="730" w:hanging="10"/>
      </w:pPr>
      <w:r>
        <w:rPr>
          <w:b/>
        </w:rPr>
        <w:t xml:space="preserve">The Local WIC Agency agrees to:  </w:t>
      </w:r>
    </w:p>
    <w:p w14:paraId="482E0752" w14:textId="77777777" w:rsidR="00BA7B81" w:rsidRDefault="00CC1D24">
      <w:pPr>
        <w:numPr>
          <w:ilvl w:val="0"/>
          <w:numId w:val="3"/>
        </w:numPr>
        <w:ind w:hanging="360"/>
      </w:pPr>
      <w:r>
        <w:t xml:space="preserve">Determine Medicaid eligibility on every individual prior to providing a billable service, including determining </w:t>
      </w:r>
      <w:proofErr w:type="spellStart"/>
      <w:r>
        <w:t>BadgerCare</w:t>
      </w:r>
      <w:proofErr w:type="spellEnd"/>
      <w:r>
        <w:t xml:space="preserve"> Plus and Medicaid SSI HMO enrollment.  This may be done by using the online </w:t>
      </w:r>
      <w:proofErr w:type="spellStart"/>
      <w:r>
        <w:t>ForwardHealth</w:t>
      </w:r>
      <w:proofErr w:type="spellEnd"/>
      <w:r>
        <w:t xml:space="preserve"> Portal or by calling </w:t>
      </w:r>
      <w:proofErr w:type="spellStart"/>
      <w:r>
        <w:t>WiCall</w:t>
      </w:r>
      <w:proofErr w:type="spellEnd"/>
      <w:r>
        <w:t xml:space="preserve"> at 1-800-9473544, 24 hours a day, 7 days a week for eligibility verification.</w:t>
      </w:r>
    </w:p>
    <w:p w14:paraId="28DBA1F8" w14:textId="77777777" w:rsidR="00BA7B81" w:rsidRDefault="00CC1D24">
      <w:pPr>
        <w:numPr>
          <w:ilvl w:val="0"/>
          <w:numId w:val="3"/>
        </w:numPr>
        <w:ind w:hanging="360"/>
      </w:pPr>
      <w:r>
        <w:t>Coordinate screenings with the PCP of the member to ensure appropriate testing schedule is followed. This may be done by using the Wisconsin Blood Lead Registry.</w:t>
      </w:r>
    </w:p>
    <w:p w14:paraId="0CE15E05" w14:textId="77777777" w:rsidR="00BA7B81" w:rsidRDefault="00CC1D24">
      <w:pPr>
        <w:numPr>
          <w:ilvl w:val="0"/>
          <w:numId w:val="3"/>
        </w:numPr>
        <w:ind w:hanging="360"/>
      </w:pPr>
      <w:r>
        <w:t>Report elevated blood lead screening results done by the Local WIC Agency to the identified PCP.</w:t>
      </w:r>
    </w:p>
    <w:p w14:paraId="3CE09EC3" w14:textId="77777777" w:rsidR="00BA7B81" w:rsidRDefault="00CC1D24">
      <w:pPr>
        <w:numPr>
          <w:ilvl w:val="0"/>
          <w:numId w:val="3"/>
        </w:numPr>
        <w:spacing w:after="497"/>
        <w:ind w:hanging="360"/>
      </w:pPr>
      <w:r>
        <w:t xml:space="preserve">Provide access to records for compliance with Wisconsin </w:t>
      </w:r>
      <w:proofErr w:type="spellStart"/>
      <w:r>
        <w:t>BadgerCare</w:t>
      </w:r>
      <w:proofErr w:type="spellEnd"/>
      <w:r>
        <w:t xml:space="preserve"> Plus and Medicaid SSI contract.</w:t>
      </w:r>
    </w:p>
    <w:p w14:paraId="10377A7B" w14:textId="77777777" w:rsidR="00BA7B81" w:rsidRDefault="00CC1D24">
      <w:pPr>
        <w:spacing w:after="252" w:line="259" w:lineRule="auto"/>
        <w:ind w:left="730" w:hanging="10"/>
      </w:pPr>
      <w:r>
        <w:rPr>
          <w:b/>
        </w:rPr>
        <w:t xml:space="preserve">HMO agrees to: </w:t>
      </w:r>
    </w:p>
    <w:p w14:paraId="3B6279C8" w14:textId="77777777" w:rsidR="00BA7B81" w:rsidRDefault="00CC1D24">
      <w:pPr>
        <w:numPr>
          <w:ilvl w:val="0"/>
          <w:numId w:val="4"/>
        </w:numPr>
        <w:ind w:hanging="360"/>
      </w:pPr>
      <w:r>
        <w:t>Allow WIC to provide blood lead screening services to HMO members.</w:t>
      </w:r>
    </w:p>
    <w:p w14:paraId="4BE6B0DE" w14:textId="77777777" w:rsidR="00BA7B81" w:rsidRDefault="00CC1D24">
      <w:pPr>
        <w:numPr>
          <w:ilvl w:val="0"/>
          <w:numId w:val="4"/>
        </w:numPr>
        <w:ind w:hanging="360"/>
      </w:pPr>
      <w:r>
        <w:t>Negotiate an agreed upon contract with the Local WIC Agency regarding claim submission timeframes, rate of payment, etc.</w:t>
      </w:r>
    </w:p>
    <w:p w14:paraId="1D89FF66" w14:textId="0889A229" w:rsidR="00266799" w:rsidRDefault="00CC1D24" w:rsidP="00266799">
      <w:pPr>
        <w:numPr>
          <w:ilvl w:val="0"/>
          <w:numId w:val="4"/>
        </w:numPr>
        <w:ind w:hanging="360"/>
      </w:pPr>
      <w:r>
        <w:t xml:space="preserve">Notify the Local WIC Agency of the provider appeal procedures as required by the </w:t>
      </w:r>
      <w:proofErr w:type="spellStart"/>
      <w:r>
        <w:t>BadgerCare</w:t>
      </w:r>
      <w:proofErr w:type="spellEnd"/>
      <w:r>
        <w:t xml:space="preserve"> Plus and Medicaid SSI HMO contract, and abide by the timelines as required in the contract.</w:t>
      </w:r>
    </w:p>
    <w:p w14:paraId="231EB4C5" w14:textId="6C09B40B" w:rsidR="00266799" w:rsidRDefault="00266799" w:rsidP="00266799"/>
    <w:p w14:paraId="4B4CF8F7" w14:textId="1E20A99C" w:rsidR="00266799" w:rsidRDefault="00266799" w:rsidP="00266799">
      <w:pPr>
        <w:rPr>
          <w:b/>
          <w:bCs/>
        </w:rPr>
      </w:pPr>
      <w:r w:rsidRPr="00266799">
        <w:rPr>
          <w:b/>
          <w:bCs/>
        </w:rPr>
        <w:t>Legal Terms</w:t>
      </w:r>
    </w:p>
    <w:p w14:paraId="77DC2B6E" w14:textId="77777777" w:rsidR="00111587" w:rsidRDefault="00266799" w:rsidP="00111587">
      <w:pPr>
        <w:pStyle w:val="ListParagraph"/>
        <w:numPr>
          <w:ilvl w:val="0"/>
          <w:numId w:val="7"/>
        </w:numPr>
        <w:ind w:left="0" w:firstLine="0"/>
        <w:rPr>
          <w:b/>
          <w:bCs/>
        </w:rPr>
      </w:pPr>
      <w:r w:rsidRPr="00111587">
        <w:rPr>
          <w:u w:val="thick"/>
        </w:rPr>
        <w:t>Patient Privacy and Data Handling</w:t>
      </w:r>
      <w:r w:rsidRPr="00266799">
        <w:t xml:space="preserve">. This Subsection applies to the extent that either party is provided by the other party, or collects under this MOU, any of the following: "protected health information" as defined by 45 CFR § 160.103 and Wis. Stat.§146.816; "registration records" or  "treatment  records" as defined in Wis. Stats.§  51.30; or "patient health care records" as defined in Wis. Stats. § 146.81 (collectively, "Patient Records"). HMO </w:t>
      </w:r>
      <w:proofErr w:type="gramStart"/>
      <w:r w:rsidRPr="00266799">
        <w:t>represents  that</w:t>
      </w:r>
      <w:proofErr w:type="gramEnd"/>
      <w:r w:rsidRPr="00266799">
        <w:t xml:space="preserve"> (1) HMO is a "covered entity" for purposes  of the Health Insurance Portability and Accountability Act of 1996, as amended (HIPAA), </w:t>
      </w:r>
      <w:r w:rsidRPr="00111587">
        <w:rPr>
          <w:b/>
          <w:bCs/>
          <w:u w:val="single"/>
        </w:rPr>
        <w:t xml:space="preserve">or </w:t>
      </w:r>
      <w:r w:rsidRPr="00266799">
        <w:t>(2) HMO is not a "covered entity," but has entered into and acts as a Business Associate of the Wisconsin Department of Health Services ("WIDHS"), and under HMO's contract with WIDHS, HMO has the authority to exchange information with Provider under that contract and HIPAA. Both parties,</w:t>
      </w:r>
      <w:r>
        <w:t xml:space="preserve"> </w:t>
      </w:r>
      <w:r w:rsidRPr="00266799">
        <w:t>and any of their respective subcontractors, will comply with all applicable state and federal medical privacy laws, including but not limited to HIPAA and Wis. Stats.§§ 51.30, 146.816 and 146.82, when applicable. Both parties further covenant and agree that each will enter into a Business Associate Agreement as required by HIPAA with any subcontractor with access to Patient Records under this MOU and will provide a copy of relevant portions such subcontract to the other party upon reasonable request.</w:t>
      </w:r>
    </w:p>
    <w:p w14:paraId="0FAEA486" w14:textId="77777777" w:rsidR="00111587" w:rsidRPr="00111587" w:rsidRDefault="00111587" w:rsidP="00111587">
      <w:pPr>
        <w:pStyle w:val="ListParagraph"/>
        <w:ind w:left="0" w:firstLine="0"/>
        <w:rPr>
          <w:b/>
          <w:bCs/>
        </w:rPr>
      </w:pPr>
    </w:p>
    <w:p w14:paraId="6EDBC58B" w14:textId="7C72FEC7" w:rsidR="00111587" w:rsidRPr="00111587" w:rsidRDefault="00266799" w:rsidP="00111587">
      <w:pPr>
        <w:pStyle w:val="ListParagraph"/>
        <w:numPr>
          <w:ilvl w:val="0"/>
          <w:numId w:val="7"/>
        </w:numPr>
        <w:ind w:left="0" w:firstLine="0"/>
        <w:rPr>
          <w:b/>
          <w:bCs/>
        </w:rPr>
      </w:pPr>
      <w:r w:rsidRPr="00111587">
        <w:rPr>
          <w:u w:val="thick"/>
        </w:rPr>
        <w:t>Indemnification</w:t>
      </w:r>
      <w:r w:rsidRPr="00266799">
        <w:t xml:space="preserve">. </w:t>
      </w:r>
      <w:r w:rsidR="0011111F" w:rsidRPr="0011111F">
        <w:t>Each Party shall indemnify, hold harmless and defend the other Party, its officers, directors, shareholders, members, employees, representatives, agents and subcontractors from and against any and all liability, loss, damage, claim, causes of action and expenses (including reasonable attorneys’ fees) (collectively, “Claims”), to the extent not covered by insurance and only in proportion to and to the extent, caused or asserted to have been caused, directly or indirectly, by or as a result of the indemnifying Party’s breach of the terms of this Agreement, or the performance of any intentional acts, negligent acts or omissions by the indemnifying Party in connection with this Agreement.  Each Party shall promptly notify the other Party in writing of any threatened or actual Claim for which such Party seeks indemnification under this provision, and such Party shall cooperate with the indemnifying Party to facilitate the defense and/or settlement thereof.</w:t>
      </w:r>
    </w:p>
    <w:p w14:paraId="40502824" w14:textId="77777777" w:rsidR="00111587" w:rsidRPr="00111587" w:rsidRDefault="00111587" w:rsidP="00111587">
      <w:pPr>
        <w:pStyle w:val="ListParagraph"/>
        <w:ind w:left="0" w:firstLine="0"/>
        <w:rPr>
          <w:b/>
          <w:bCs/>
        </w:rPr>
      </w:pPr>
    </w:p>
    <w:p w14:paraId="49500C09" w14:textId="77777777" w:rsidR="00111587" w:rsidRPr="00111587" w:rsidRDefault="00266799" w:rsidP="00111587">
      <w:pPr>
        <w:pStyle w:val="ListParagraph"/>
        <w:numPr>
          <w:ilvl w:val="0"/>
          <w:numId w:val="7"/>
        </w:numPr>
        <w:ind w:left="0" w:firstLine="0"/>
        <w:rPr>
          <w:b/>
          <w:bCs/>
        </w:rPr>
      </w:pPr>
      <w:r w:rsidRPr="00111587">
        <w:rPr>
          <w:u w:val="thick"/>
        </w:rPr>
        <w:t>Entire Agreement</w:t>
      </w:r>
      <w:r w:rsidRPr="00266799">
        <w:t>. The MOU constitutes the entire agreement between the parties concerning the subject matter hereof and supersedes all prior agreements, discussions, representations, warranties and covenants between the parties concerning the subject matter hereof. Any amendments, changes or modifications to this MOU shall be in writing and executed by the parties.</w:t>
      </w:r>
    </w:p>
    <w:p w14:paraId="29B17DA0" w14:textId="77777777" w:rsidR="00111587" w:rsidRPr="00111587" w:rsidRDefault="00111587" w:rsidP="00111587">
      <w:pPr>
        <w:pStyle w:val="ListParagraph"/>
        <w:ind w:left="0" w:firstLine="0"/>
        <w:rPr>
          <w:b/>
          <w:bCs/>
        </w:rPr>
      </w:pPr>
    </w:p>
    <w:p w14:paraId="46EDBDD1" w14:textId="77777777" w:rsidR="00111587" w:rsidRPr="00111587" w:rsidRDefault="00266799" w:rsidP="00111587">
      <w:pPr>
        <w:pStyle w:val="ListParagraph"/>
        <w:numPr>
          <w:ilvl w:val="0"/>
          <w:numId w:val="7"/>
        </w:numPr>
        <w:ind w:left="0" w:firstLine="0"/>
        <w:rPr>
          <w:b/>
          <w:bCs/>
        </w:rPr>
      </w:pPr>
      <w:r w:rsidRPr="00111587">
        <w:rPr>
          <w:u w:val="thick"/>
        </w:rPr>
        <w:t>Severability</w:t>
      </w:r>
      <w:r w:rsidRPr="00266799">
        <w:t xml:space="preserve">. If any term of this MOU is, to any extent, held invalid or incapable of being enforced, such term shall be excluded  only to the extent of such invalidity or unenforceability. All other terms hereof shall remain in full force and effect and, to the extent possible, the invalid or unenforceable term shall be deemed replaced by a term that is valid and enforceable and that comes closest to expressing the intention of such invalid or unenforceable term as determined by </w:t>
      </w:r>
      <w:r w:rsidRPr="00266799">
        <w:lastRenderedPageBreak/>
        <w:t>Provider. If such invalid and unenforceable term has a material and adverse effect on a party and a valid and enforceable replacement that comes closest to expressing the intention of such invalid or unenforceable term as determined by Provider cannot be created, the party materially and adversely impacted shall be allowed to terminate the MOU.</w:t>
      </w:r>
    </w:p>
    <w:p w14:paraId="40AA964C" w14:textId="77777777" w:rsidR="00111587" w:rsidRPr="00111587" w:rsidRDefault="00111587" w:rsidP="00111587">
      <w:pPr>
        <w:pStyle w:val="ListParagraph"/>
        <w:ind w:left="0" w:firstLine="0"/>
        <w:rPr>
          <w:b/>
          <w:bCs/>
        </w:rPr>
      </w:pPr>
    </w:p>
    <w:p w14:paraId="0E160796" w14:textId="77777777" w:rsidR="00111587" w:rsidRPr="00111587" w:rsidRDefault="00266799" w:rsidP="00111587">
      <w:pPr>
        <w:pStyle w:val="ListParagraph"/>
        <w:numPr>
          <w:ilvl w:val="0"/>
          <w:numId w:val="7"/>
        </w:numPr>
        <w:ind w:left="0" w:firstLine="0"/>
        <w:rPr>
          <w:b/>
          <w:bCs/>
        </w:rPr>
      </w:pPr>
      <w:r w:rsidRPr="00111587">
        <w:rPr>
          <w:u w:val="thick"/>
        </w:rPr>
        <w:t>Effect of Regulations</w:t>
      </w:r>
      <w:r w:rsidRPr="00266799">
        <w:t xml:space="preserve">. Should any local, state or national regulatory authority </w:t>
      </w:r>
      <w:proofErr w:type="spellStart"/>
      <w:proofErr w:type="gramStart"/>
      <w:r w:rsidRPr="00266799">
        <w:t>having.jurisdiction</w:t>
      </w:r>
      <w:proofErr w:type="spellEnd"/>
      <w:proofErr w:type="gramEnd"/>
      <w:r w:rsidRPr="00266799">
        <w:t xml:space="preserve"> over either party enter a valid and enforceable order upon it which has the effect of changing or superseding any term or condition of the MOU, such order shall be complied with, but only so long as such order remains in effect and only to the extent actually necessary under the law. In such event, the MOU shall remain in effect and be modified or terminated in the manner provided for by the section entitled "Severability."</w:t>
      </w:r>
    </w:p>
    <w:p w14:paraId="3B968E56" w14:textId="77777777" w:rsidR="00111587" w:rsidRPr="00111587" w:rsidRDefault="00111587" w:rsidP="00111587">
      <w:pPr>
        <w:pStyle w:val="ListParagraph"/>
        <w:ind w:left="0" w:firstLine="0"/>
        <w:rPr>
          <w:b/>
          <w:bCs/>
        </w:rPr>
      </w:pPr>
    </w:p>
    <w:p w14:paraId="3367BBBF" w14:textId="77777777" w:rsidR="00111587" w:rsidRPr="00111587" w:rsidRDefault="00266799" w:rsidP="00111587">
      <w:pPr>
        <w:pStyle w:val="ListParagraph"/>
        <w:numPr>
          <w:ilvl w:val="0"/>
          <w:numId w:val="7"/>
        </w:numPr>
        <w:ind w:left="0" w:firstLine="0"/>
        <w:rPr>
          <w:b/>
          <w:bCs/>
        </w:rPr>
      </w:pPr>
      <w:proofErr w:type="spellStart"/>
      <w:r w:rsidRPr="00111587">
        <w:rPr>
          <w:u w:val="thick"/>
        </w:rPr>
        <w:t>Remedjes</w:t>
      </w:r>
      <w:proofErr w:type="spellEnd"/>
      <w:r w:rsidRPr="00111587">
        <w:rPr>
          <w:u w:val="thick"/>
        </w:rPr>
        <w:t xml:space="preserve"> and No Waiver.</w:t>
      </w:r>
      <w:r w:rsidRPr="00266799">
        <w:t xml:space="preserve"> Nothing in this MOU shall be construed to waive any privilege, right of recovery, cause of action, defense, remedy, category of damages, or immunity to which Provider is entitled under common law, or federal, state, or local law; waiver of any of the foregoing may only be accomplished in writing by an individual with the authority to bind Provider.</w:t>
      </w:r>
    </w:p>
    <w:p w14:paraId="167DD7AD" w14:textId="77777777" w:rsidR="00111587" w:rsidRPr="00111587" w:rsidRDefault="00111587" w:rsidP="00111587">
      <w:pPr>
        <w:pStyle w:val="ListParagraph"/>
        <w:ind w:left="0" w:firstLine="0"/>
        <w:rPr>
          <w:b/>
          <w:bCs/>
        </w:rPr>
      </w:pPr>
    </w:p>
    <w:p w14:paraId="20A5D3F0" w14:textId="77777777" w:rsidR="00111587" w:rsidRPr="00111587" w:rsidRDefault="00266799" w:rsidP="00111587">
      <w:pPr>
        <w:pStyle w:val="ListParagraph"/>
        <w:numPr>
          <w:ilvl w:val="0"/>
          <w:numId w:val="7"/>
        </w:numPr>
        <w:ind w:left="0" w:firstLine="0"/>
        <w:rPr>
          <w:b/>
          <w:bCs/>
        </w:rPr>
      </w:pPr>
      <w:r w:rsidRPr="00111587">
        <w:rPr>
          <w:u w:val="thick"/>
        </w:rPr>
        <w:t>Survival</w:t>
      </w:r>
      <w:r w:rsidRPr="00266799">
        <w:t>. All section which by its/their meaning is/are implied to survive termination, including but not limited to the section on public records, shall continue in force and effect following the termination or expiration of this MOU.</w:t>
      </w:r>
    </w:p>
    <w:p w14:paraId="59E70EA1" w14:textId="77777777" w:rsidR="00111587" w:rsidRPr="00111587" w:rsidRDefault="00111587" w:rsidP="00111587">
      <w:pPr>
        <w:pStyle w:val="ListParagraph"/>
        <w:ind w:left="0" w:firstLine="0"/>
        <w:rPr>
          <w:b/>
          <w:bCs/>
        </w:rPr>
      </w:pPr>
    </w:p>
    <w:p w14:paraId="4C271910" w14:textId="77777777" w:rsidR="00111587" w:rsidRPr="00111587" w:rsidRDefault="00266799" w:rsidP="00111587">
      <w:pPr>
        <w:pStyle w:val="ListParagraph"/>
        <w:numPr>
          <w:ilvl w:val="0"/>
          <w:numId w:val="7"/>
        </w:numPr>
        <w:ind w:left="0" w:firstLine="0"/>
        <w:rPr>
          <w:b/>
          <w:bCs/>
        </w:rPr>
      </w:pPr>
      <w:r w:rsidRPr="00111587">
        <w:rPr>
          <w:u w:val="thick"/>
        </w:rPr>
        <w:t>Assignability</w:t>
      </w:r>
      <w:r w:rsidRPr="00266799">
        <w:t>. Neither party shall assign any interest in this MOU and nor transfer any interest in the same in any manner without the written consent of the other Party.</w:t>
      </w:r>
    </w:p>
    <w:p w14:paraId="01BB81A5" w14:textId="77777777" w:rsidR="00111587" w:rsidRPr="00111587" w:rsidRDefault="00111587" w:rsidP="00111587">
      <w:pPr>
        <w:pStyle w:val="ListParagraph"/>
        <w:ind w:left="0" w:firstLine="0"/>
        <w:rPr>
          <w:b/>
          <w:bCs/>
        </w:rPr>
      </w:pPr>
    </w:p>
    <w:p w14:paraId="5E0338E8" w14:textId="77777777" w:rsidR="00111587" w:rsidRDefault="00266799" w:rsidP="00111587">
      <w:pPr>
        <w:pStyle w:val="ListParagraph"/>
        <w:numPr>
          <w:ilvl w:val="0"/>
          <w:numId w:val="7"/>
        </w:numPr>
        <w:ind w:left="0" w:firstLine="0"/>
        <w:rPr>
          <w:b/>
          <w:bCs/>
        </w:rPr>
      </w:pPr>
      <w:r w:rsidRPr="00111587">
        <w:rPr>
          <w:u w:val="thick"/>
        </w:rPr>
        <w:t>Choice of Law and Venue</w:t>
      </w:r>
      <w:r w:rsidRPr="00266799">
        <w:t xml:space="preserve">. This MOU shall be governed by, construed, interpreted and enforced in accordance with the laws of the State of Wisconsin. The parties agree that for any claim or suit or other dispute relating to this MOU that cannot be mutually resolved, jurisdiction and venue shall be in </w:t>
      </w:r>
      <w:r w:rsidRPr="00355B4C">
        <w:t>Milwaukee County, Wisconsin, for matters arising under state law or, should federal courts have jurisdiction, the eastern district of Wisconsin.</w:t>
      </w:r>
      <w:r w:rsidRPr="00266799">
        <w:t xml:space="preserve"> The parties agree to submit themselves to the jurisdiction of said courts, to the exclusion of any other court that may have jurisdiction over such a dispute according to any other law.</w:t>
      </w:r>
    </w:p>
    <w:p w14:paraId="07126508" w14:textId="77777777" w:rsidR="00111587" w:rsidRPr="00111587" w:rsidRDefault="00111587" w:rsidP="00111587">
      <w:pPr>
        <w:pStyle w:val="ListParagraph"/>
        <w:ind w:left="0" w:firstLine="0"/>
        <w:rPr>
          <w:b/>
          <w:bCs/>
        </w:rPr>
      </w:pPr>
    </w:p>
    <w:p w14:paraId="1BAF468A" w14:textId="77777777" w:rsidR="00111587" w:rsidRPr="00111587" w:rsidRDefault="00266799" w:rsidP="00111587">
      <w:pPr>
        <w:pStyle w:val="ListParagraph"/>
        <w:numPr>
          <w:ilvl w:val="0"/>
          <w:numId w:val="7"/>
        </w:numPr>
        <w:ind w:left="0" w:firstLine="0"/>
        <w:rPr>
          <w:b/>
          <w:bCs/>
        </w:rPr>
      </w:pPr>
      <w:r w:rsidRPr="00111587">
        <w:rPr>
          <w:u w:val="thick"/>
        </w:rPr>
        <w:t>Notice</w:t>
      </w:r>
      <w:r w:rsidRPr="00266799">
        <w:t xml:space="preserve">.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addressed to the parties at the addresses </w:t>
      </w:r>
      <w:r>
        <w:t>indicated on the signature page of this MOU</w:t>
      </w:r>
      <w:r w:rsidR="00111587">
        <w:t xml:space="preserve">. </w:t>
      </w:r>
    </w:p>
    <w:p w14:paraId="48F639D5" w14:textId="77777777" w:rsidR="00111587" w:rsidRPr="00111587" w:rsidRDefault="00111587" w:rsidP="00111587">
      <w:pPr>
        <w:pStyle w:val="ListParagraph"/>
        <w:ind w:left="0" w:firstLine="0"/>
        <w:rPr>
          <w:b/>
          <w:bCs/>
        </w:rPr>
      </w:pPr>
    </w:p>
    <w:p w14:paraId="083071BF" w14:textId="77777777" w:rsidR="00413B0E" w:rsidRDefault="00266799" w:rsidP="00413B0E">
      <w:pPr>
        <w:pStyle w:val="ListParagraph"/>
        <w:numPr>
          <w:ilvl w:val="0"/>
          <w:numId w:val="7"/>
        </w:numPr>
        <w:spacing w:after="252" w:line="259" w:lineRule="auto"/>
        <w:ind w:left="0" w:hanging="10"/>
      </w:pPr>
      <w:r w:rsidRPr="00413B0E">
        <w:rPr>
          <w:u w:val="thick"/>
        </w:rPr>
        <w:t>Nondiscrimination</w:t>
      </w:r>
      <w:r w:rsidRPr="00266799">
        <w:t xml:space="preserve">. It is Provider's policy not to discriminate against any qualified employee or qualified applicant for employment because of an· individual's sex, race, religion, color, national origin or ancestry, age, disability, lawful source of income, marital status, sexual orientation, gender identity or expression, victimhood of domestic abuse or sexual assault, past or present membership in the military service, HIV status, domestic partnership, genetic identity, </w:t>
      </w:r>
      <w:r w:rsidRPr="00266799">
        <w:lastRenderedPageBreak/>
        <w:t>homelessness, familial status, or an individual's affiliation or perceived affiliation with any of the categories</w:t>
      </w:r>
      <w:r w:rsidR="00051E13">
        <w:t xml:space="preserve"> of Section 1557 of the Patient Protection and Affordable Care Act (42 USC 18116)</w:t>
      </w:r>
      <w:r w:rsidR="00D60BD5">
        <w:t xml:space="preserve">.  Neither party nor its subcontractors may discriminate against any member of the class of individuals in Section 1557, and such contractors must insert this clause into any </w:t>
      </w:r>
      <w:r w:rsidR="00413B0E">
        <w:t>subcontractors’ contract.</w:t>
      </w:r>
    </w:p>
    <w:p w14:paraId="1931D139" w14:textId="77777777" w:rsidR="00413B0E" w:rsidRDefault="00413B0E" w:rsidP="00413B0E">
      <w:pPr>
        <w:pStyle w:val="ListParagraph"/>
        <w:spacing w:after="252" w:line="259" w:lineRule="auto"/>
        <w:ind w:left="0" w:firstLine="0"/>
        <w:rPr>
          <w:u w:val="thick"/>
        </w:rPr>
      </w:pPr>
    </w:p>
    <w:p w14:paraId="0B00079D" w14:textId="45884E54" w:rsidR="00BA7B81" w:rsidRDefault="00CC1D24" w:rsidP="00413B0E">
      <w:pPr>
        <w:pStyle w:val="ListParagraph"/>
        <w:spacing w:after="252" w:line="259" w:lineRule="auto"/>
        <w:ind w:left="0" w:firstLine="0"/>
      </w:pPr>
      <w:r w:rsidRPr="00413B0E">
        <w:rPr>
          <w:b/>
        </w:rPr>
        <w:t xml:space="preserve">The parties mutually agree: </w:t>
      </w:r>
    </w:p>
    <w:p w14:paraId="1B30BBEC" w14:textId="77777777" w:rsidR="00BA7B81" w:rsidRDefault="00CC1D24">
      <w:pPr>
        <w:spacing w:after="0"/>
        <w:ind w:left="345" w:firstLine="0"/>
      </w:pPr>
      <w:r>
        <w:t xml:space="preserve">Any communication, data reporting or other disclosure of information under this agreement shall be done consistent with all applicable state and federal laws including, but not limited </w:t>
      </w:r>
    </w:p>
    <w:p w14:paraId="37A614D1" w14:textId="77777777" w:rsidR="00BA7B81" w:rsidRDefault="00CC1D24">
      <w:pPr>
        <w:ind w:left="345" w:firstLine="0"/>
      </w:pPr>
      <w:r>
        <w:t xml:space="preserve">to, the security and privacy requirements of the Health Insurance Portability and Accountability Act (HIPAA). </w:t>
      </w:r>
    </w:p>
    <w:p w14:paraId="468A2F6E" w14:textId="00E02D78" w:rsidR="00266799" w:rsidRDefault="00CC1D24" w:rsidP="00266799">
      <w:pPr>
        <w:ind w:left="345" w:firstLine="0"/>
      </w:pPr>
      <w:r>
        <w:t xml:space="preserve">This Agreement shall be effective on the date of the last to sign of the parties as set forth below and remain in effect </w:t>
      </w:r>
      <w:r w:rsidR="008A42A6">
        <w:t>for a period of three years</w:t>
      </w:r>
      <w:r w:rsidRPr="00FC14E4">
        <w:rPr>
          <w:bCs/>
        </w:rPr>
        <w:t>.</w:t>
      </w:r>
      <w:r>
        <w:t xml:space="preserve">  Either party may terminate this Agreement upon thirty (30) days written notice delivered in person, by courier or by United States mail, postage prepaid and certified. </w:t>
      </w:r>
    </w:p>
    <w:p w14:paraId="41405534" w14:textId="77777777" w:rsidR="00BA7B81" w:rsidRDefault="00CC1D24">
      <w:pPr>
        <w:spacing w:after="10"/>
        <w:ind w:left="0" w:firstLine="0"/>
      </w:pPr>
      <w:r>
        <w:rPr>
          <w:b/>
        </w:rPr>
        <w:t>IN WITNESS WHEREOF,</w:t>
      </w:r>
      <w:r>
        <w:t xml:space="preserve"> the parties hereto have caused this Agreement to be executed by their duly authorized representatives. </w:t>
      </w:r>
    </w:p>
    <w:tbl>
      <w:tblPr>
        <w:tblStyle w:val="TableGrid"/>
        <w:tblW w:w="8858" w:type="dxa"/>
        <w:tblInd w:w="5" w:type="dxa"/>
        <w:tblCellMar>
          <w:top w:w="14" w:type="dxa"/>
          <w:left w:w="108" w:type="dxa"/>
          <w:right w:w="115" w:type="dxa"/>
        </w:tblCellMar>
        <w:tblLook w:val="04A0" w:firstRow="1" w:lastRow="0" w:firstColumn="1" w:lastColumn="0" w:noHBand="0" w:noVBand="1"/>
      </w:tblPr>
      <w:tblGrid>
        <w:gridCol w:w="4429"/>
        <w:gridCol w:w="4429"/>
      </w:tblGrid>
      <w:tr w:rsidR="00BA7B81" w14:paraId="6ABFAE44" w14:textId="77777777">
        <w:trPr>
          <w:trHeight w:val="286"/>
        </w:trPr>
        <w:tc>
          <w:tcPr>
            <w:tcW w:w="4429" w:type="dxa"/>
            <w:tcBorders>
              <w:top w:val="single" w:sz="4" w:space="0" w:color="000000"/>
              <w:left w:val="single" w:sz="4" w:space="0" w:color="000000"/>
              <w:bottom w:val="single" w:sz="4" w:space="0" w:color="000000"/>
              <w:right w:val="single" w:sz="4" w:space="0" w:color="000000"/>
            </w:tcBorders>
          </w:tcPr>
          <w:p w14:paraId="5C11946A" w14:textId="77777777" w:rsidR="00BA7B81" w:rsidRDefault="00CC1D24">
            <w:pPr>
              <w:spacing w:after="0" w:line="259" w:lineRule="auto"/>
              <w:ind w:left="4" w:firstLine="0"/>
              <w:jc w:val="center"/>
            </w:pPr>
            <w:r>
              <w:rPr>
                <w:b/>
              </w:rPr>
              <w:t xml:space="preserve">HMO </w:t>
            </w:r>
          </w:p>
        </w:tc>
        <w:tc>
          <w:tcPr>
            <w:tcW w:w="4429" w:type="dxa"/>
            <w:tcBorders>
              <w:top w:val="single" w:sz="4" w:space="0" w:color="000000"/>
              <w:left w:val="single" w:sz="4" w:space="0" w:color="000000"/>
              <w:bottom w:val="single" w:sz="4" w:space="0" w:color="000000"/>
              <w:right w:val="single" w:sz="4" w:space="0" w:color="000000"/>
            </w:tcBorders>
          </w:tcPr>
          <w:p w14:paraId="29778F42" w14:textId="77777777" w:rsidR="00BA7B81" w:rsidRDefault="00CC1D24">
            <w:pPr>
              <w:spacing w:after="0" w:line="259" w:lineRule="auto"/>
              <w:ind w:left="5" w:firstLine="0"/>
              <w:jc w:val="center"/>
            </w:pPr>
            <w:r>
              <w:rPr>
                <w:b/>
              </w:rPr>
              <w:t xml:space="preserve">Local WIC Agency </w:t>
            </w:r>
          </w:p>
        </w:tc>
      </w:tr>
      <w:tr w:rsidR="00BA7B81" w14:paraId="2CA5362B" w14:textId="77777777">
        <w:trPr>
          <w:trHeight w:val="2576"/>
        </w:trPr>
        <w:tc>
          <w:tcPr>
            <w:tcW w:w="4429" w:type="dxa"/>
            <w:tcBorders>
              <w:top w:val="single" w:sz="4" w:space="0" w:color="000000"/>
              <w:left w:val="single" w:sz="4" w:space="0" w:color="000000"/>
              <w:bottom w:val="single" w:sz="4" w:space="0" w:color="000000"/>
              <w:right w:val="single" w:sz="4" w:space="0" w:color="000000"/>
            </w:tcBorders>
          </w:tcPr>
          <w:p w14:paraId="568D57FE" w14:textId="77777777" w:rsidR="00BA7B81" w:rsidRDefault="00CC1D24">
            <w:pPr>
              <w:spacing w:after="252" w:line="259" w:lineRule="auto"/>
              <w:ind w:left="0" w:firstLine="0"/>
            </w:pPr>
            <w:r>
              <w:t xml:space="preserve">Agency Name:   </w:t>
            </w:r>
          </w:p>
          <w:p w14:paraId="07759DB1" w14:textId="77777777" w:rsidR="00BA7B81" w:rsidRDefault="00CC1D24">
            <w:pPr>
              <w:spacing w:after="252" w:line="259" w:lineRule="auto"/>
              <w:ind w:left="0" w:firstLine="0"/>
            </w:pPr>
            <w:r>
              <w:rPr>
                <w:b/>
              </w:rPr>
              <w:t xml:space="preserve">UnitedHealthcare Community Plan </w:t>
            </w:r>
          </w:p>
          <w:p w14:paraId="462F50CA" w14:textId="77777777" w:rsidR="00BA7B81" w:rsidRDefault="00CC1D24">
            <w:pPr>
              <w:spacing w:after="0" w:line="259" w:lineRule="auto"/>
              <w:ind w:left="0" w:firstLine="0"/>
            </w:pPr>
            <w:r>
              <w:t xml:space="preserve">Authorizing Signature: </w:t>
            </w:r>
          </w:p>
          <w:p w14:paraId="203B25C8" w14:textId="2AC4EBC7" w:rsidR="00BA7B81" w:rsidRDefault="00BA7B81">
            <w:pPr>
              <w:spacing w:after="0" w:line="259" w:lineRule="auto"/>
              <w:ind w:left="0" w:firstLine="0"/>
            </w:pPr>
          </w:p>
        </w:tc>
        <w:tc>
          <w:tcPr>
            <w:tcW w:w="4429" w:type="dxa"/>
            <w:tcBorders>
              <w:top w:val="single" w:sz="4" w:space="0" w:color="000000"/>
              <w:left w:val="single" w:sz="4" w:space="0" w:color="000000"/>
              <w:bottom w:val="single" w:sz="4" w:space="0" w:color="000000"/>
              <w:right w:val="single" w:sz="4" w:space="0" w:color="000000"/>
            </w:tcBorders>
          </w:tcPr>
          <w:p w14:paraId="2A522C02" w14:textId="7FFFDE15" w:rsidR="00855027" w:rsidRDefault="00CC1D24">
            <w:pPr>
              <w:spacing w:after="804" w:line="259" w:lineRule="auto"/>
              <w:ind w:left="0" w:firstLine="0"/>
            </w:pPr>
            <w:r>
              <w:t xml:space="preserve">Agency Name:  </w:t>
            </w:r>
            <w:r w:rsidR="00855027" w:rsidRPr="00855027">
              <w:rPr>
                <w:b/>
                <w:bCs/>
              </w:rPr>
              <w:t>Sauk County WIC</w:t>
            </w:r>
            <w:r w:rsidR="00855027">
              <w:t xml:space="preserve"> </w:t>
            </w:r>
          </w:p>
          <w:p w14:paraId="68089767" w14:textId="77777777" w:rsidR="00BA7B81" w:rsidRDefault="00CC1D24">
            <w:pPr>
              <w:spacing w:after="0" w:line="259" w:lineRule="auto"/>
              <w:ind w:left="0" w:firstLine="0"/>
            </w:pPr>
            <w:r>
              <w:t xml:space="preserve">Authorizing Signature: </w:t>
            </w:r>
          </w:p>
        </w:tc>
      </w:tr>
      <w:tr w:rsidR="00BA7B81" w14:paraId="0E2687C6" w14:textId="77777777">
        <w:trPr>
          <w:trHeight w:val="562"/>
        </w:trPr>
        <w:tc>
          <w:tcPr>
            <w:tcW w:w="4429" w:type="dxa"/>
            <w:tcBorders>
              <w:top w:val="single" w:sz="4" w:space="0" w:color="000000"/>
              <w:left w:val="single" w:sz="4" w:space="0" w:color="000000"/>
              <w:bottom w:val="single" w:sz="4" w:space="0" w:color="000000"/>
              <w:right w:val="single" w:sz="4" w:space="0" w:color="000000"/>
            </w:tcBorders>
          </w:tcPr>
          <w:p w14:paraId="591BCABD" w14:textId="77777777" w:rsidR="00BA7B81" w:rsidRDefault="00CC1D24">
            <w:pPr>
              <w:spacing w:after="0" w:line="259" w:lineRule="auto"/>
              <w:ind w:left="0" w:firstLine="0"/>
            </w:pPr>
            <w:r>
              <w:t xml:space="preserve">Title: </w:t>
            </w:r>
          </w:p>
          <w:p w14:paraId="1A3D9A91" w14:textId="15D52204" w:rsidR="00BA7B81" w:rsidRDefault="00CC1D24">
            <w:pPr>
              <w:spacing w:after="0" w:line="259" w:lineRule="auto"/>
              <w:ind w:left="0" w:firstLine="0"/>
            </w:pPr>
            <w:r>
              <w:t xml:space="preserve">          </w:t>
            </w:r>
          </w:p>
        </w:tc>
        <w:tc>
          <w:tcPr>
            <w:tcW w:w="4429" w:type="dxa"/>
            <w:tcBorders>
              <w:top w:val="single" w:sz="4" w:space="0" w:color="000000"/>
              <w:left w:val="single" w:sz="4" w:space="0" w:color="000000"/>
              <w:bottom w:val="single" w:sz="4" w:space="0" w:color="000000"/>
              <w:right w:val="single" w:sz="4" w:space="0" w:color="000000"/>
            </w:tcBorders>
          </w:tcPr>
          <w:p w14:paraId="485F615A" w14:textId="77777777" w:rsidR="00BA7B81" w:rsidRDefault="00CC1D24">
            <w:pPr>
              <w:spacing w:after="0" w:line="259" w:lineRule="auto"/>
              <w:ind w:left="0" w:firstLine="0"/>
            </w:pPr>
            <w:r>
              <w:t xml:space="preserve">Title: </w:t>
            </w:r>
          </w:p>
        </w:tc>
      </w:tr>
      <w:tr w:rsidR="00BA7B81" w14:paraId="302ACB9D" w14:textId="77777777" w:rsidTr="005E48E6">
        <w:trPr>
          <w:trHeight w:val="614"/>
        </w:trPr>
        <w:tc>
          <w:tcPr>
            <w:tcW w:w="4429" w:type="dxa"/>
            <w:tcBorders>
              <w:top w:val="single" w:sz="4" w:space="0" w:color="000000"/>
              <w:left w:val="single" w:sz="4" w:space="0" w:color="000000"/>
              <w:bottom w:val="single" w:sz="4" w:space="0" w:color="000000"/>
              <w:right w:val="single" w:sz="4" w:space="0" w:color="000000"/>
            </w:tcBorders>
          </w:tcPr>
          <w:p w14:paraId="49C261F9" w14:textId="77777777" w:rsidR="00450DAC" w:rsidRDefault="00CC1D24">
            <w:pPr>
              <w:spacing w:after="0" w:line="259" w:lineRule="auto"/>
              <w:ind w:left="0" w:firstLine="0"/>
            </w:pPr>
            <w:r>
              <w:t xml:space="preserve">Date: </w:t>
            </w:r>
          </w:p>
          <w:p w14:paraId="0C12979C" w14:textId="6AD4DE5D" w:rsidR="00BA7B81" w:rsidRDefault="00BA7B81" w:rsidP="001E5A89">
            <w:pPr>
              <w:spacing w:after="0" w:line="259" w:lineRule="auto"/>
              <w:ind w:left="0" w:firstLine="0"/>
            </w:pPr>
          </w:p>
        </w:tc>
        <w:tc>
          <w:tcPr>
            <w:tcW w:w="4429" w:type="dxa"/>
            <w:tcBorders>
              <w:top w:val="single" w:sz="4" w:space="0" w:color="000000"/>
              <w:left w:val="single" w:sz="4" w:space="0" w:color="000000"/>
              <w:bottom w:val="single" w:sz="4" w:space="0" w:color="000000"/>
              <w:right w:val="single" w:sz="4" w:space="0" w:color="000000"/>
            </w:tcBorders>
          </w:tcPr>
          <w:p w14:paraId="404EF571" w14:textId="77777777" w:rsidR="00BA7B81" w:rsidRDefault="00CC1D24">
            <w:pPr>
              <w:spacing w:after="0" w:line="259" w:lineRule="auto"/>
              <w:ind w:left="0" w:firstLine="0"/>
            </w:pPr>
            <w:r>
              <w:t xml:space="preserve">Date: </w:t>
            </w:r>
          </w:p>
        </w:tc>
      </w:tr>
    </w:tbl>
    <w:p w14:paraId="74D21E86" w14:textId="77777777" w:rsidR="00CC1D24" w:rsidRDefault="00CC1D24"/>
    <w:sectPr w:rsidR="00CC1D24">
      <w:pgSz w:w="12240" w:h="15840"/>
      <w:pgMar w:top="1450" w:right="1455" w:bottom="170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B94C" w14:textId="77777777" w:rsidR="00E43077" w:rsidRDefault="00E43077" w:rsidP="00CB5B46">
      <w:pPr>
        <w:spacing w:after="0" w:line="240" w:lineRule="auto"/>
      </w:pPr>
      <w:r>
        <w:separator/>
      </w:r>
    </w:p>
  </w:endnote>
  <w:endnote w:type="continuationSeparator" w:id="0">
    <w:p w14:paraId="2DB7FAF5" w14:textId="77777777" w:rsidR="00E43077" w:rsidRDefault="00E43077" w:rsidP="00CB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2159" w14:textId="77777777" w:rsidR="00E43077" w:rsidRDefault="00E43077" w:rsidP="00CB5B46">
      <w:pPr>
        <w:spacing w:after="0" w:line="240" w:lineRule="auto"/>
      </w:pPr>
      <w:r>
        <w:separator/>
      </w:r>
    </w:p>
  </w:footnote>
  <w:footnote w:type="continuationSeparator" w:id="0">
    <w:p w14:paraId="5948C28B" w14:textId="77777777" w:rsidR="00E43077" w:rsidRDefault="00E43077" w:rsidP="00CB5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3E"/>
    <w:multiLevelType w:val="hybridMultilevel"/>
    <w:tmpl w:val="624C9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94C17"/>
    <w:multiLevelType w:val="hybridMultilevel"/>
    <w:tmpl w:val="A9ACBE02"/>
    <w:lvl w:ilvl="0" w:tplc="F596392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CB348">
      <w:start w:val="1"/>
      <w:numFmt w:val="lowerLetter"/>
      <w:lvlText w:val="%2"/>
      <w:lvlJc w:val="left"/>
      <w:pPr>
        <w:ind w:left="1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2059C">
      <w:start w:val="1"/>
      <w:numFmt w:val="lowerRoman"/>
      <w:lvlText w:val="%3"/>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22262">
      <w:start w:val="1"/>
      <w:numFmt w:val="decimal"/>
      <w:lvlText w:val="%4"/>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2F864">
      <w:start w:val="1"/>
      <w:numFmt w:val="lowerLetter"/>
      <w:lvlText w:val="%5"/>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A6DBC">
      <w:start w:val="1"/>
      <w:numFmt w:val="lowerRoman"/>
      <w:lvlText w:val="%6"/>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1E96F4">
      <w:start w:val="1"/>
      <w:numFmt w:val="decimal"/>
      <w:lvlText w:val="%7"/>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726D42">
      <w:start w:val="1"/>
      <w:numFmt w:val="lowerLetter"/>
      <w:lvlText w:val="%8"/>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E7C7E">
      <w:start w:val="1"/>
      <w:numFmt w:val="lowerRoman"/>
      <w:lvlText w:val="%9"/>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042C1C"/>
    <w:multiLevelType w:val="hybridMultilevel"/>
    <w:tmpl w:val="F6F4AFAE"/>
    <w:lvl w:ilvl="0" w:tplc="2D72E2D8">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6D788">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465F10">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8E598">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681A6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6041E">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38BC2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028F20">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C782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862E08"/>
    <w:multiLevelType w:val="hybridMultilevel"/>
    <w:tmpl w:val="646E42C4"/>
    <w:lvl w:ilvl="0" w:tplc="0BC026E4">
      <w:start w:val="1"/>
      <w:numFmt w:val="bullet"/>
      <w:lvlText w:val=""/>
      <w:lvlJc w:val="left"/>
      <w:pPr>
        <w:ind w:left="18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C5644"/>
    <w:multiLevelType w:val="hybridMultilevel"/>
    <w:tmpl w:val="4972EF10"/>
    <w:lvl w:ilvl="0" w:tplc="F762F90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14F6FC">
      <w:start w:val="1"/>
      <w:numFmt w:val="lowerLetter"/>
      <w:lvlText w:val="%2"/>
      <w:lvlJc w:val="left"/>
      <w:pPr>
        <w:ind w:left="1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6CCDEA">
      <w:start w:val="1"/>
      <w:numFmt w:val="lowerRoman"/>
      <w:lvlText w:val="%3"/>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8727C">
      <w:start w:val="1"/>
      <w:numFmt w:val="decimal"/>
      <w:lvlText w:val="%4"/>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0C104">
      <w:start w:val="1"/>
      <w:numFmt w:val="lowerLetter"/>
      <w:lvlText w:val="%5"/>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A2595A">
      <w:start w:val="1"/>
      <w:numFmt w:val="lowerRoman"/>
      <w:lvlText w:val="%6"/>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18E6EA">
      <w:start w:val="1"/>
      <w:numFmt w:val="decimal"/>
      <w:lvlText w:val="%7"/>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60C81E">
      <w:start w:val="1"/>
      <w:numFmt w:val="lowerLetter"/>
      <w:lvlText w:val="%8"/>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84924">
      <w:start w:val="1"/>
      <w:numFmt w:val="lowerRoman"/>
      <w:lvlText w:val="%9"/>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EA66B4"/>
    <w:multiLevelType w:val="hybridMultilevel"/>
    <w:tmpl w:val="CA5CE3B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5B7F57D1"/>
    <w:multiLevelType w:val="hybridMultilevel"/>
    <w:tmpl w:val="893408EA"/>
    <w:lvl w:ilvl="0" w:tplc="6B5628D6">
      <w:start w:val="1"/>
      <w:numFmt w:val="decimal"/>
      <w:lvlText w:val="%1."/>
      <w:lvlJc w:val="left"/>
      <w:pPr>
        <w:ind w:left="604" w:hanging="352"/>
      </w:pPr>
      <w:rPr>
        <w:rFonts w:ascii="Arial" w:eastAsia="Arial" w:hAnsi="Arial" w:cs="Arial" w:hint="default"/>
        <w:color w:val="383838"/>
        <w:spacing w:val="-3"/>
        <w:w w:val="101"/>
        <w:sz w:val="18"/>
        <w:szCs w:val="18"/>
      </w:rPr>
    </w:lvl>
    <w:lvl w:ilvl="1" w:tplc="057A5B30">
      <w:start w:val="1"/>
      <w:numFmt w:val="decimal"/>
      <w:lvlText w:val="%2."/>
      <w:lvlJc w:val="left"/>
      <w:pPr>
        <w:ind w:left="893" w:hanging="360"/>
      </w:pPr>
      <w:rPr>
        <w:rFonts w:hint="default"/>
        <w:spacing w:val="-7"/>
        <w:w w:val="105"/>
      </w:rPr>
    </w:lvl>
    <w:lvl w:ilvl="2" w:tplc="C46CFA22">
      <w:numFmt w:val="bullet"/>
      <w:lvlText w:val="•"/>
      <w:lvlJc w:val="left"/>
      <w:pPr>
        <w:ind w:left="2064" w:hanging="360"/>
      </w:pPr>
      <w:rPr>
        <w:rFonts w:hint="default"/>
      </w:rPr>
    </w:lvl>
    <w:lvl w:ilvl="3" w:tplc="8FE84580">
      <w:numFmt w:val="bullet"/>
      <w:lvlText w:val="•"/>
      <w:lvlJc w:val="left"/>
      <w:pPr>
        <w:ind w:left="3228" w:hanging="360"/>
      </w:pPr>
      <w:rPr>
        <w:rFonts w:hint="default"/>
      </w:rPr>
    </w:lvl>
    <w:lvl w:ilvl="4" w:tplc="B566AD96">
      <w:numFmt w:val="bullet"/>
      <w:lvlText w:val="•"/>
      <w:lvlJc w:val="left"/>
      <w:pPr>
        <w:ind w:left="4393" w:hanging="360"/>
      </w:pPr>
      <w:rPr>
        <w:rFonts w:hint="default"/>
      </w:rPr>
    </w:lvl>
    <w:lvl w:ilvl="5" w:tplc="DA04644E">
      <w:numFmt w:val="bullet"/>
      <w:lvlText w:val="•"/>
      <w:lvlJc w:val="left"/>
      <w:pPr>
        <w:ind w:left="5557" w:hanging="360"/>
      </w:pPr>
      <w:rPr>
        <w:rFonts w:hint="default"/>
      </w:rPr>
    </w:lvl>
    <w:lvl w:ilvl="6" w:tplc="9066369C">
      <w:numFmt w:val="bullet"/>
      <w:lvlText w:val="•"/>
      <w:lvlJc w:val="left"/>
      <w:pPr>
        <w:ind w:left="6722" w:hanging="360"/>
      </w:pPr>
      <w:rPr>
        <w:rFonts w:hint="default"/>
      </w:rPr>
    </w:lvl>
    <w:lvl w:ilvl="7" w:tplc="7A848C94">
      <w:numFmt w:val="bullet"/>
      <w:lvlText w:val="•"/>
      <w:lvlJc w:val="left"/>
      <w:pPr>
        <w:ind w:left="7886" w:hanging="360"/>
      </w:pPr>
      <w:rPr>
        <w:rFonts w:hint="default"/>
      </w:rPr>
    </w:lvl>
    <w:lvl w:ilvl="8" w:tplc="7C8EDD10">
      <w:numFmt w:val="bullet"/>
      <w:lvlText w:val="•"/>
      <w:lvlJc w:val="left"/>
      <w:pPr>
        <w:ind w:left="9051" w:hanging="360"/>
      </w:pPr>
      <w:rPr>
        <w:rFonts w:hint="default"/>
      </w:rPr>
    </w:lvl>
  </w:abstractNum>
  <w:abstractNum w:abstractNumId="7" w15:restartNumberingAfterBreak="0">
    <w:nsid w:val="609862B1"/>
    <w:multiLevelType w:val="hybridMultilevel"/>
    <w:tmpl w:val="F85A4C12"/>
    <w:lvl w:ilvl="0" w:tplc="DFBCB39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2A5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A45F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6C9F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444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CC58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0EC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C8C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8C15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231479"/>
    <w:multiLevelType w:val="hybridMultilevel"/>
    <w:tmpl w:val="516C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866659">
    <w:abstractNumId w:val="7"/>
  </w:num>
  <w:num w:numId="2" w16cid:durableId="923881498">
    <w:abstractNumId w:val="2"/>
  </w:num>
  <w:num w:numId="3" w16cid:durableId="1740134109">
    <w:abstractNumId w:val="1"/>
  </w:num>
  <w:num w:numId="4" w16cid:durableId="1587616281">
    <w:abstractNumId w:val="4"/>
  </w:num>
  <w:num w:numId="5" w16cid:durableId="1639602005">
    <w:abstractNumId w:val="6"/>
  </w:num>
  <w:num w:numId="6" w16cid:durableId="408694819">
    <w:abstractNumId w:val="8"/>
  </w:num>
  <w:num w:numId="7" w16cid:durableId="120812040">
    <w:abstractNumId w:val="0"/>
  </w:num>
  <w:num w:numId="8" w16cid:durableId="16777526">
    <w:abstractNumId w:val="3"/>
  </w:num>
  <w:num w:numId="9" w16cid:durableId="1075317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81"/>
    <w:rsid w:val="00051E13"/>
    <w:rsid w:val="000F1880"/>
    <w:rsid w:val="0011111F"/>
    <w:rsid w:val="00111587"/>
    <w:rsid w:val="00187778"/>
    <w:rsid w:val="001E5A89"/>
    <w:rsid w:val="00266799"/>
    <w:rsid w:val="00347EFB"/>
    <w:rsid w:val="00355B4C"/>
    <w:rsid w:val="00413B0E"/>
    <w:rsid w:val="00450DAC"/>
    <w:rsid w:val="004C764A"/>
    <w:rsid w:val="00525480"/>
    <w:rsid w:val="0056435A"/>
    <w:rsid w:val="005E48E6"/>
    <w:rsid w:val="00633EB5"/>
    <w:rsid w:val="00657721"/>
    <w:rsid w:val="006A3AA9"/>
    <w:rsid w:val="0075041D"/>
    <w:rsid w:val="007662CC"/>
    <w:rsid w:val="00813837"/>
    <w:rsid w:val="00855027"/>
    <w:rsid w:val="008A42A6"/>
    <w:rsid w:val="008E10F3"/>
    <w:rsid w:val="009E1F5E"/>
    <w:rsid w:val="00A23D6B"/>
    <w:rsid w:val="00A6553C"/>
    <w:rsid w:val="00AA6251"/>
    <w:rsid w:val="00AB30B3"/>
    <w:rsid w:val="00AF6CCB"/>
    <w:rsid w:val="00BA22CA"/>
    <w:rsid w:val="00BA7B81"/>
    <w:rsid w:val="00BD1C04"/>
    <w:rsid w:val="00C1477E"/>
    <w:rsid w:val="00CB5B46"/>
    <w:rsid w:val="00CC1D24"/>
    <w:rsid w:val="00D60BD5"/>
    <w:rsid w:val="00D671E6"/>
    <w:rsid w:val="00E21A4E"/>
    <w:rsid w:val="00E43077"/>
    <w:rsid w:val="00E66A8B"/>
    <w:rsid w:val="00E920AA"/>
    <w:rsid w:val="00EB09FC"/>
    <w:rsid w:val="00EB505C"/>
    <w:rsid w:val="00F97C34"/>
    <w:rsid w:val="00FA1868"/>
    <w:rsid w:val="00FC14E4"/>
    <w:rsid w:val="00FC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A7F1"/>
  <w15:docId w15:val="{49569B8E-149B-46F2-B7B7-BE943826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49" w:lineRule="auto"/>
      <w:ind w:left="370" w:hanging="370"/>
    </w:pPr>
    <w:rPr>
      <w:rFonts w:ascii="Times New Roman" w:eastAsia="Times New Roman" w:hAnsi="Times New Roman" w:cs="Times New Roman"/>
      <w:color w:val="000000"/>
      <w:sz w:val="24"/>
    </w:rPr>
  </w:style>
  <w:style w:type="paragraph" w:styleId="Heading2">
    <w:name w:val="heading 2"/>
    <w:basedOn w:val="Normal"/>
    <w:next w:val="Normal"/>
    <w:link w:val="Heading2Char"/>
    <w:uiPriority w:val="9"/>
    <w:semiHidden/>
    <w:unhideWhenUsed/>
    <w:qFormat/>
    <w:rsid w:val="002667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66799"/>
    <w:rPr>
      <w:sz w:val="16"/>
      <w:szCs w:val="16"/>
    </w:rPr>
  </w:style>
  <w:style w:type="paragraph" w:styleId="CommentText">
    <w:name w:val="annotation text"/>
    <w:basedOn w:val="Normal"/>
    <w:link w:val="CommentTextChar"/>
    <w:uiPriority w:val="99"/>
    <w:semiHidden/>
    <w:unhideWhenUsed/>
    <w:rsid w:val="00266799"/>
    <w:pPr>
      <w:spacing w:line="240" w:lineRule="auto"/>
    </w:pPr>
    <w:rPr>
      <w:sz w:val="20"/>
      <w:szCs w:val="20"/>
    </w:rPr>
  </w:style>
  <w:style w:type="character" w:customStyle="1" w:styleId="CommentTextChar">
    <w:name w:val="Comment Text Char"/>
    <w:basedOn w:val="DefaultParagraphFont"/>
    <w:link w:val="CommentText"/>
    <w:uiPriority w:val="99"/>
    <w:semiHidden/>
    <w:rsid w:val="0026679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66799"/>
    <w:rPr>
      <w:b/>
      <w:bCs/>
    </w:rPr>
  </w:style>
  <w:style w:type="character" w:customStyle="1" w:styleId="CommentSubjectChar">
    <w:name w:val="Comment Subject Char"/>
    <w:basedOn w:val="CommentTextChar"/>
    <w:link w:val="CommentSubject"/>
    <w:uiPriority w:val="99"/>
    <w:semiHidden/>
    <w:rsid w:val="00266799"/>
    <w:rPr>
      <w:rFonts w:ascii="Times New Roman" w:eastAsia="Times New Roman" w:hAnsi="Times New Roman" w:cs="Times New Roman"/>
      <w:b/>
      <w:bCs/>
      <w:color w:val="000000"/>
      <w:sz w:val="20"/>
      <w:szCs w:val="20"/>
    </w:rPr>
  </w:style>
  <w:style w:type="character" w:customStyle="1" w:styleId="Heading2Char">
    <w:name w:val="Heading 2 Char"/>
    <w:basedOn w:val="DefaultParagraphFont"/>
    <w:link w:val="Heading2"/>
    <w:uiPriority w:val="9"/>
    <w:semiHidden/>
    <w:rsid w:val="0026679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66799"/>
    <w:pPr>
      <w:ind w:left="720"/>
      <w:contextualSpacing/>
    </w:pPr>
  </w:style>
  <w:style w:type="paragraph" w:styleId="Header">
    <w:name w:val="header"/>
    <w:basedOn w:val="Normal"/>
    <w:link w:val="HeaderChar"/>
    <w:uiPriority w:val="99"/>
    <w:unhideWhenUsed/>
    <w:rsid w:val="00CB5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B4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B5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B46"/>
    <w:rPr>
      <w:rFonts w:ascii="Times New Roman" w:eastAsia="Times New Roman" w:hAnsi="Times New Roman" w:cs="Times New Roman"/>
      <w:color w:val="000000"/>
      <w:sz w:val="24"/>
    </w:rPr>
  </w:style>
  <w:style w:type="paragraph" w:styleId="Revision">
    <w:name w:val="Revision"/>
    <w:hidden/>
    <w:uiPriority w:val="99"/>
    <w:semiHidden/>
    <w:rsid w:val="00D671E6"/>
    <w:pPr>
      <w:spacing w:after="0" w:line="240" w:lineRule="auto"/>
    </w:pPr>
    <w:rPr>
      <w:rFonts w:ascii="Times New Roman" w:eastAsia="Times New Roman" w:hAnsi="Times New Roman" w:cs="Times New Roman"/>
      <w:color w:val="000000"/>
      <w:sz w:val="24"/>
    </w:rPr>
  </w:style>
  <w:style w:type="paragraph" w:styleId="NoSpacing">
    <w:name w:val="No Spacing"/>
    <w:uiPriority w:val="1"/>
    <w:qFormat/>
    <w:rsid w:val="00AF6CCB"/>
    <w:pPr>
      <w:spacing w:after="0" w:line="240" w:lineRule="auto"/>
      <w:ind w:left="370" w:hanging="37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9401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Klebenow, Bobbi J</dc:creator>
  <cp:keywords/>
  <cp:lastModifiedBy>Julie Jaech</cp:lastModifiedBy>
  <cp:revision>2</cp:revision>
  <cp:lastPrinted>2024-01-31T17:15:00Z</cp:lastPrinted>
  <dcterms:created xsi:type="dcterms:W3CDTF">2024-01-31T17:15:00Z</dcterms:created>
  <dcterms:modified xsi:type="dcterms:W3CDTF">2024-01-31T17:15:00Z</dcterms:modified>
</cp:coreProperties>
</file>