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07" w:rsidRDefault="006D4B07" w:rsidP="001B673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rPr>
          <w:rStyle w:val="InitialStyle"/>
          <w:rFonts w:ascii="Times New Roman" w:hAnsi="Times New Roman"/>
          <w:b/>
          <w:sz w:val="28"/>
        </w:rPr>
      </w:pPr>
    </w:p>
    <w:p w:rsidR="006D4B07" w:rsidRDefault="006D4B07"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jc w:val="center"/>
        <w:rPr>
          <w:rStyle w:val="InitialStyle"/>
          <w:rFonts w:ascii="Times New Roman" w:hAnsi="Times New Roman"/>
          <w:b/>
          <w:sz w:val="28"/>
        </w:rPr>
      </w:pPr>
    </w:p>
    <w:p w:rsidR="00CB4C40" w:rsidRPr="00CB4C40"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jc w:val="center"/>
        <w:rPr>
          <w:rStyle w:val="InitialStyle"/>
          <w:rFonts w:ascii="Times New Roman" w:hAnsi="Times New Roman"/>
          <w:b/>
        </w:rPr>
      </w:pPr>
      <w:r w:rsidRPr="00CB4C40">
        <w:rPr>
          <w:rStyle w:val="InitialStyle"/>
          <w:rFonts w:ascii="Times New Roman" w:hAnsi="Times New Roman"/>
          <w:b/>
          <w:sz w:val="28"/>
        </w:rPr>
        <w:t>RESOLUTION NO. ____-</w:t>
      </w:r>
      <w:r w:rsidR="00087B9F">
        <w:rPr>
          <w:rStyle w:val="InitialStyle"/>
          <w:rFonts w:ascii="Times New Roman" w:hAnsi="Times New Roman"/>
          <w:b/>
          <w:sz w:val="28"/>
        </w:rPr>
        <w:t>20</w:t>
      </w:r>
      <w:r w:rsidR="00AC17AF">
        <w:rPr>
          <w:rStyle w:val="InitialStyle"/>
          <w:rFonts w:ascii="Times New Roman" w:hAnsi="Times New Roman"/>
          <w:b/>
          <w:sz w:val="28"/>
        </w:rPr>
        <w:t>21</w:t>
      </w:r>
    </w:p>
    <w:p w:rsidR="00CB4C40" w:rsidRPr="00EA074B"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center"/>
        <w:rPr>
          <w:rStyle w:val="InitialStyle"/>
          <w:rFonts w:ascii="Times New Roman" w:hAnsi="Times New Roman"/>
          <w:sz w:val="12"/>
        </w:rPr>
      </w:pPr>
    </w:p>
    <w:p w:rsidR="00B25A11" w:rsidRPr="00B25A11" w:rsidRDefault="00B25A11" w:rsidP="00B25A11">
      <w:pPr>
        <w:pStyle w:val="DefaultText"/>
        <w:jc w:val="center"/>
        <w:rPr>
          <w:b/>
          <w:color w:val="auto"/>
          <w:szCs w:val="24"/>
        </w:rPr>
      </w:pPr>
      <w:r w:rsidRPr="00B25A11">
        <w:rPr>
          <w:b/>
          <w:color w:val="auto"/>
          <w:szCs w:val="24"/>
        </w:rPr>
        <w:t xml:space="preserve">Authorizing a Contractual Agreement with </w:t>
      </w:r>
      <w:r w:rsidR="00B13903">
        <w:rPr>
          <w:b/>
          <w:color w:val="auto"/>
          <w:szCs w:val="24"/>
        </w:rPr>
        <w:t>PMA Securities, LLC</w:t>
      </w:r>
    </w:p>
    <w:p w:rsidR="00F26217" w:rsidRPr="00B25A11" w:rsidRDefault="00B25A11" w:rsidP="00B25A11">
      <w:pPr>
        <w:spacing w:after="120" w:line="240" w:lineRule="auto"/>
        <w:jc w:val="center"/>
        <w:rPr>
          <w:rFonts w:ascii="Times New Roman" w:hAnsi="Times New Roman"/>
          <w:b/>
          <w:sz w:val="24"/>
          <w:szCs w:val="24"/>
        </w:rPr>
      </w:pPr>
      <w:proofErr w:type="gramStart"/>
      <w:r w:rsidRPr="00B25A11">
        <w:rPr>
          <w:rFonts w:ascii="Times New Roman" w:hAnsi="Times New Roman"/>
          <w:b/>
          <w:sz w:val="24"/>
          <w:szCs w:val="24"/>
        </w:rPr>
        <w:t>for</w:t>
      </w:r>
      <w:proofErr w:type="gramEnd"/>
      <w:r w:rsidRPr="00B25A11">
        <w:rPr>
          <w:rFonts w:ascii="Times New Roman" w:hAnsi="Times New Roman"/>
          <w:b/>
          <w:sz w:val="24"/>
          <w:szCs w:val="24"/>
        </w:rPr>
        <w:t xml:space="preserve"> </w:t>
      </w:r>
      <w:r>
        <w:rPr>
          <w:rFonts w:ascii="Times New Roman" w:hAnsi="Times New Roman"/>
          <w:b/>
          <w:sz w:val="24"/>
          <w:szCs w:val="24"/>
        </w:rPr>
        <w:t>Financial Advisor</w:t>
      </w:r>
      <w:r w:rsidRPr="00B25A11">
        <w:rPr>
          <w:rFonts w:ascii="Times New Roman" w:hAnsi="Times New Roman"/>
          <w:b/>
          <w:sz w:val="24"/>
          <w:szCs w:val="24"/>
        </w:rPr>
        <w:t xml:space="preserve"> Services Related to Debt Management</w:t>
      </w:r>
    </w:p>
    <w:tbl>
      <w:tblPr>
        <w:tblStyle w:val="TableGrid"/>
        <w:tblW w:w="0" w:type="auto"/>
        <w:tblLook w:val="04A0" w:firstRow="1" w:lastRow="0" w:firstColumn="1" w:lastColumn="0" w:noHBand="0" w:noVBand="1"/>
      </w:tblPr>
      <w:tblGrid>
        <w:gridCol w:w="9926"/>
      </w:tblGrid>
      <w:tr w:rsidR="0058611E" w:rsidTr="001B17B1">
        <w:tc>
          <w:tcPr>
            <w:tcW w:w="9926" w:type="dxa"/>
          </w:tcPr>
          <w:p w:rsidR="000D35ED" w:rsidRDefault="0058611E" w:rsidP="00B25A11">
            <w:pPr>
              <w:pStyle w:val="DefaultText"/>
              <w:rPr>
                <w:sz w:val="22"/>
              </w:rPr>
            </w:pPr>
            <w:r w:rsidRPr="00AB7352">
              <w:rPr>
                <w:b/>
                <w:i/>
                <w:sz w:val="22"/>
              </w:rPr>
              <w:t>Background:</w:t>
            </w:r>
            <w:r w:rsidRPr="00AB7352">
              <w:rPr>
                <w:sz w:val="22"/>
              </w:rPr>
              <w:t xml:space="preserve">  </w:t>
            </w:r>
            <w:r w:rsidR="000D35ED">
              <w:rPr>
                <w:sz w:val="22"/>
              </w:rPr>
              <w:t>When it is necessary for Sauk County to borrow funds for Sauk County projects (such as replacement of the Highway facility) or when it is advantageous to refinance existing debt, to do so requires retaining the services of a qualified firm to serve as financial advisor.</w:t>
            </w:r>
          </w:p>
          <w:p w:rsidR="004D5B6C" w:rsidRDefault="004D5B6C" w:rsidP="00B25A11">
            <w:pPr>
              <w:pStyle w:val="DefaultText"/>
              <w:rPr>
                <w:sz w:val="22"/>
              </w:rPr>
            </w:pPr>
          </w:p>
          <w:p w:rsidR="004D5B6C" w:rsidRPr="00023820" w:rsidRDefault="004D5B6C" w:rsidP="00B25A11">
            <w:pPr>
              <w:pStyle w:val="DefaultText"/>
              <w:rPr>
                <w:sz w:val="22"/>
              </w:rPr>
            </w:pPr>
            <w:r>
              <w:rPr>
                <w:sz w:val="22"/>
              </w:rPr>
              <w:t xml:space="preserve">A financial </w:t>
            </w:r>
            <w:r w:rsidRPr="00023820">
              <w:rPr>
                <w:sz w:val="22"/>
              </w:rPr>
              <w:t xml:space="preserve">advisor </w:t>
            </w:r>
            <w:r w:rsidR="00023820" w:rsidRPr="00023820">
              <w:rPr>
                <w:bCs/>
                <w:sz w:val="22"/>
              </w:rPr>
              <w:t>assist</w:t>
            </w:r>
            <w:r w:rsidR="00023820">
              <w:rPr>
                <w:bCs/>
                <w:sz w:val="22"/>
              </w:rPr>
              <w:t>s</w:t>
            </w:r>
            <w:r w:rsidR="00023820" w:rsidRPr="00023820">
              <w:rPr>
                <w:bCs/>
                <w:sz w:val="22"/>
              </w:rPr>
              <w:t xml:space="preserve"> the issuer in determining the best type of financing for the government, selecting other finance professionals, planning the bond sale</w:t>
            </w:r>
            <w:r w:rsidR="00023820">
              <w:rPr>
                <w:bCs/>
                <w:sz w:val="22"/>
              </w:rPr>
              <w:t>,</w:t>
            </w:r>
            <w:r w:rsidR="00023820" w:rsidRPr="00023820">
              <w:rPr>
                <w:bCs/>
                <w:sz w:val="22"/>
              </w:rPr>
              <w:t xml:space="preserve"> and successfully selling and closing the bonds.</w:t>
            </w:r>
            <w:r w:rsidR="00325F89">
              <w:rPr>
                <w:bCs/>
                <w:sz w:val="22"/>
              </w:rPr>
              <w:t xml:space="preserve">  Their work also includes advising on the size and structure of the issuance, as well as amortization schedule, term, discount/premium, and call features.  They make recommendations on the bond issue itself</w:t>
            </w:r>
            <w:r w:rsidR="00CE4B05">
              <w:rPr>
                <w:bCs/>
                <w:sz w:val="22"/>
              </w:rPr>
              <w:t>,</w:t>
            </w:r>
            <w:r w:rsidR="00325F89">
              <w:rPr>
                <w:bCs/>
                <w:sz w:val="22"/>
              </w:rPr>
              <w:t xml:space="preserve"> and County policies and operations to enhance bond marketability, thereby reducing interest costs.</w:t>
            </w:r>
          </w:p>
          <w:p w:rsidR="000D35ED" w:rsidRDefault="000D35ED" w:rsidP="00B25A11">
            <w:pPr>
              <w:pStyle w:val="DefaultText"/>
              <w:rPr>
                <w:sz w:val="22"/>
              </w:rPr>
            </w:pPr>
          </w:p>
          <w:p w:rsidR="0058611E" w:rsidRDefault="000D35ED" w:rsidP="00B25A11">
            <w:pPr>
              <w:pStyle w:val="DefaultText"/>
              <w:rPr>
                <w:sz w:val="22"/>
              </w:rPr>
            </w:pPr>
            <w:r>
              <w:rPr>
                <w:sz w:val="22"/>
              </w:rPr>
              <w:t xml:space="preserve">A request for proposal was developed and issued to elicit bids from qualified firms for assistance in developing financing plans and issuing debt.  </w:t>
            </w:r>
            <w:r w:rsidR="00675749">
              <w:rPr>
                <w:sz w:val="22"/>
              </w:rPr>
              <w:t>Six</w:t>
            </w:r>
            <w:r>
              <w:rPr>
                <w:sz w:val="22"/>
              </w:rPr>
              <w:t xml:space="preserve"> proposals </w:t>
            </w:r>
            <w:proofErr w:type="gramStart"/>
            <w:r>
              <w:rPr>
                <w:sz w:val="22"/>
              </w:rPr>
              <w:t>were received</w:t>
            </w:r>
            <w:proofErr w:type="gramEnd"/>
            <w:r>
              <w:rPr>
                <w:sz w:val="22"/>
              </w:rPr>
              <w:t xml:space="preserve">.  A review panel consisting of the Administrator, Finance Director and Accounting Manager </w:t>
            </w:r>
            <w:r w:rsidRPr="000D35ED">
              <w:rPr>
                <w:sz w:val="22"/>
              </w:rPr>
              <w:t>reviewed all proposals based on the technical qualifications and experience of the firm and its staff (weighted at 60 percent of the maximum points), cost (25 percent), and method of performance (15 percent).</w:t>
            </w:r>
            <w:r>
              <w:t xml:space="preserve">  </w:t>
            </w:r>
          </w:p>
          <w:p w:rsidR="000D35ED" w:rsidRPr="0058611E" w:rsidRDefault="000D35ED" w:rsidP="00B25A11">
            <w:pPr>
              <w:pStyle w:val="DefaultText"/>
            </w:pPr>
          </w:p>
        </w:tc>
      </w:tr>
      <w:tr w:rsidR="0058611E" w:rsidTr="001B17B1">
        <w:tc>
          <w:tcPr>
            <w:tcW w:w="9926" w:type="dxa"/>
          </w:tcPr>
          <w:p w:rsidR="0058611E" w:rsidRPr="00161A9C" w:rsidRDefault="0058611E" w:rsidP="004C1849">
            <w:pPr>
              <w:spacing w:after="0"/>
              <w:rPr>
                <w:rFonts w:ascii="Times New Roman" w:hAnsi="Times New Roman"/>
                <w:b/>
                <w:i/>
                <w:sz w:val="20"/>
                <w:szCs w:val="20"/>
              </w:rPr>
            </w:pPr>
            <w:r w:rsidRPr="00161A9C">
              <w:rPr>
                <w:rFonts w:ascii="Times New Roman" w:hAnsi="Times New Roman"/>
                <w:b/>
                <w:i/>
                <w:sz w:val="20"/>
                <w:szCs w:val="20"/>
              </w:rPr>
              <w:t>Fiscal Impact: [  ] None    [  ] Budgeted Expenditure    [ X ] Not Budgeted</w:t>
            </w:r>
          </w:p>
        </w:tc>
      </w:tr>
    </w:tbl>
    <w:p w:rsidR="00EA074B" w:rsidRPr="00AB7352" w:rsidRDefault="00EA074B" w:rsidP="00EA074B">
      <w:pPr>
        <w:spacing w:after="0" w:line="240" w:lineRule="auto"/>
        <w:ind w:firstLine="720"/>
        <w:rPr>
          <w:rFonts w:ascii="Times New Roman" w:hAnsi="Times New Roman"/>
          <w:b/>
          <w:sz w:val="18"/>
        </w:rPr>
      </w:pPr>
    </w:p>
    <w:p w:rsidR="00EA074B" w:rsidRPr="000D35ED" w:rsidRDefault="000D35ED" w:rsidP="00CA1099">
      <w:pPr>
        <w:spacing w:after="0" w:line="240" w:lineRule="auto"/>
        <w:ind w:firstLine="720"/>
        <w:rPr>
          <w:rFonts w:ascii="Times New Roman" w:hAnsi="Times New Roman"/>
        </w:rPr>
      </w:pPr>
      <w:r w:rsidRPr="000D35ED">
        <w:rPr>
          <w:rFonts w:ascii="Times New Roman" w:hAnsi="Times New Roman"/>
          <w:b/>
        </w:rPr>
        <w:t>NOW, THEREFORE, BE IT RESOLVED</w:t>
      </w:r>
      <w:r w:rsidRPr="000D35ED">
        <w:rPr>
          <w:rFonts w:ascii="Times New Roman" w:hAnsi="Times New Roman"/>
        </w:rPr>
        <w:t xml:space="preserve">, by the Sauk County Board of Supervisors, met in regular session, that the proposal of </w:t>
      </w:r>
      <w:r w:rsidR="00B13903">
        <w:rPr>
          <w:rFonts w:ascii="Times New Roman" w:hAnsi="Times New Roman"/>
        </w:rPr>
        <w:t>PMA Securities, LLC</w:t>
      </w:r>
      <w:r w:rsidRPr="000D35ED">
        <w:rPr>
          <w:rFonts w:ascii="Times New Roman" w:hAnsi="Times New Roman"/>
        </w:rPr>
        <w:t xml:space="preserve"> for financial advisor services related to debt management be and hereby is ac</w:t>
      </w:r>
      <w:r w:rsidR="00B13903">
        <w:rPr>
          <w:rFonts w:ascii="Times New Roman" w:hAnsi="Times New Roman"/>
        </w:rPr>
        <w:t>cepted</w:t>
      </w:r>
      <w:r w:rsidRPr="000D35ED">
        <w:rPr>
          <w:rFonts w:ascii="Times New Roman" w:hAnsi="Times New Roman"/>
        </w:rPr>
        <w:t>; and,</w:t>
      </w:r>
    </w:p>
    <w:p w:rsidR="000D35ED" w:rsidRPr="000D35ED" w:rsidRDefault="000D35ED" w:rsidP="00CA1099">
      <w:pPr>
        <w:spacing w:after="0" w:line="240" w:lineRule="auto"/>
        <w:ind w:firstLine="720"/>
        <w:rPr>
          <w:rFonts w:ascii="Times New Roman" w:hAnsi="Times New Roman"/>
        </w:rPr>
      </w:pPr>
    </w:p>
    <w:p w:rsidR="000D35ED" w:rsidRPr="000D35ED" w:rsidRDefault="000D35ED" w:rsidP="000D35ED">
      <w:pPr>
        <w:pStyle w:val="DefaultText"/>
        <w:ind w:firstLine="720"/>
        <w:rPr>
          <w:sz w:val="22"/>
          <w:szCs w:val="22"/>
        </w:rPr>
      </w:pPr>
      <w:proofErr w:type="gramStart"/>
      <w:r w:rsidRPr="000D35ED">
        <w:rPr>
          <w:b/>
          <w:sz w:val="22"/>
          <w:szCs w:val="22"/>
        </w:rPr>
        <w:t>BE IT FURTHER RESOLVED</w:t>
      </w:r>
      <w:r w:rsidRPr="000D35ED">
        <w:rPr>
          <w:sz w:val="22"/>
          <w:szCs w:val="22"/>
        </w:rPr>
        <w:t>, that the Sauk County Finance Director is authorized and directed to enter into such contracts</w:t>
      </w:r>
      <w:r w:rsidR="00CD33D4">
        <w:rPr>
          <w:sz w:val="22"/>
          <w:szCs w:val="22"/>
        </w:rPr>
        <w:t xml:space="preserve"> for a duration of up to five years</w:t>
      </w:r>
      <w:r w:rsidRPr="000D35ED">
        <w:rPr>
          <w:sz w:val="22"/>
          <w:szCs w:val="22"/>
        </w:rPr>
        <w:t>, with the review of the Corporation Counsel and Administrator, as may be necessary and appropriate for the acceptance of said proposal for the furnishing of goods, services and the performance of work in accordance therewith; and,</w:t>
      </w:r>
      <w:proofErr w:type="gramEnd"/>
    </w:p>
    <w:p w:rsidR="000D35ED" w:rsidRPr="000D35ED" w:rsidRDefault="000D35ED" w:rsidP="000D35ED">
      <w:pPr>
        <w:pStyle w:val="DefaultText"/>
        <w:rPr>
          <w:sz w:val="22"/>
          <w:szCs w:val="22"/>
        </w:rPr>
      </w:pPr>
    </w:p>
    <w:p w:rsidR="000D35ED" w:rsidRPr="000D35ED" w:rsidRDefault="000D35ED" w:rsidP="000D35ED">
      <w:pPr>
        <w:pStyle w:val="DefaultText"/>
        <w:rPr>
          <w:sz w:val="22"/>
          <w:szCs w:val="22"/>
        </w:rPr>
      </w:pPr>
      <w:r w:rsidRPr="000D35ED">
        <w:rPr>
          <w:sz w:val="22"/>
          <w:szCs w:val="22"/>
        </w:rPr>
        <w:tab/>
      </w:r>
      <w:proofErr w:type="gramStart"/>
      <w:r w:rsidRPr="000D35ED">
        <w:rPr>
          <w:b/>
          <w:sz w:val="22"/>
          <w:szCs w:val="22"/>
        </w:rPr>
        <w:t>BE IT FURTHER RESOLVED</w:t>
      </w:r>
      <w:r w:rsidRPr="000D35ED">
        <w:rPr>
          <w:sz w:val="22"/>
          <w:szCs w:val="22"/>
        </w:rPr>
        <w:t xml:space="preserve">, that should </w:t>
      </w:r>
      <w:r w:rsidR="00B13903">
        <w:t>PMA Securities, LLC</w:t>
      </w:r>
      <w:r w:rsidRPr="000D35ED">
        <w:rPr>
          <w:sz w:val="22"/>
          <w:szCs w:val="22"/>
        </w:rPr>
        <w:t xml:space="preserve"> deem it necessary or in the best interest of Sauk County to make a presentation to a bond rating agency for the purpose of maintaining or improving Sauk County's bond rating, the Sauk County Finance Committee shall be authorized to send a member of the Sauk County Board, the Administrator, and the Finance Director to an out of state location for such purpose and to allow all necessary and actual travel costs incurred (</w:t>
      </w:r>
      <w:r w:rsidR="00B13903">
        <w:t>PMA Securities, LLC</w:t>
      </w:r>
      <w:r w:rsidRPr="000D35ED">
        <w:rPr>
          <w:sz w:val="22"/>
          <w:szCs w:val="22"/>
        </w:rPr>
        <w:t xml:space="preserve"> shall bear all its own travel related costs); and,</w:t>
      </w:r>
      <w:proofErr w:type="gramEnd"/>
    </w:p>
    <w:p w:rsidR="000D35ED" w:rsidRPr="000D35ED" w:rsidRDefault="000D35ED" w:rsidP="000D35ED">
      <w:pPr>
        <w:pStyle w:val="DefaultText"/>
        <w:rPr>
          <w:sz w:val="22"/>
          <w:szCs w:val="22"/>
        </w:rPr>
      </w:pPr>
    </w:p>
    <w:p w:rsidR="000D35ED" w:rsidRDefault="000D35ED" w:rsidP="000D35ED">
      <w:pPr>
        <w:spacing w:after="0" w:line="240" w:lineRule="auto"/>
        <w:ind w:firstLine="720"/>
        <w:rPr>
          <w:rFonts w:ascii="Times New Roman" w:hAnsi="Times New Roman"/>
        </w:rPr>
      </w:pPr>
      <w:r w:rsidRPr="000D35ED">
        <w:rPr>
          <w:rFonts w:ascii="Times New Roman" w:hAnsi="Times New Roman"/>
          <w:b/>
        </w:rPr>
        <w:t>BE IT FURTHER RESOLVED</w:t>
      </w:r>
      <w:r w:rsidRPr="000D35ED">
        <w:rPr>
          <w:rFonts w:ascii="Times New Roman" w:hAnsi="Times New Roman"/>
        </w:rPr>
        <w:t xml:space="preserve">, that required contracts </w:t>
      </w:r>
      <w:proofErr w:type="gramStart"/>
      <w:r w:rsidR="00023820">
        <w:rPr>
          <w:rFonts w:ascii="Times New Roman" w:hAnsi="Times New Roman"/>
        </w:rPr>
        <w:t>ar</w:t>
      </w:r>
      <w:r w:rsidR="00023820" w:rsidRPr="000D35ED">
        <w:rPr>
          <w:rFonts w:ascii="Times New Roman" w:hAnsi="Times New Roman"/>
        </w:rPr>
        <w:t>e authorized</w:t>
      </w:r>
      <w:proofErr w:type="gramEnd"/>
      <w:r w:rsidR="00023820" w:rsidRPr="000D35ED">
        <w:rPr>
          <w:rFonts w:ascii="Times New Roman" w:hAnsi="Times New Roman"/>
        </w:rPr>
        <w:t xml:space="preserve"> </w:t>
      </w:r>
      <w:r w:rsidRPr="000D35ED">
        <w:rPr>
          <w:rFonts w:ascii="Times New Roman" w:hAnsi="Times New Roman"/>
        </w:rPr>
        <w:t xml:space="preserve">for bond counsel, </w:t>
      </w:r>
      <w:r w:rsidR="004D5B6C">
        <w:rPr>
          <w:rFonts w:ascii="Times New Roman" w:hAnsi="Times New Roman"/>
        </w:rPr>
        <w:t xml:space="preserve">disclosure counsel, </w:t>
      </w:r>
      <w:r w:rsidRPr="000D35ED">
        <w:rPr>
          <w:rFonts w:ascii="Times New Roman" w:hAnsi="Times New Roman"/>
        </w:rPr>
        <w:t xml:space="preserve">rating agency, and related services incident to the performance of a debt issue based on the recommendation </w:t>
      </w:r>
      <w:r w:rsidR="00B13903">
        <w:rPr>
          <w:rFonts w:ascii="Times New Roman" w:hAnsi="Times New Roman"/>
        </w:rPr>
        <w:t xml:space="preserve">of </w:t>
      </w:r>
      <w:r w:rsidR="00B13903">
        <w:rPr>
          <w:rFonts w:ascii="Times New Roman" w:hAnsi="Times New Roman"/>
        </w:rPr>
        <w:t>PMA Securities, LLC</w:t>
      </w:r>
      <w:r w:rsidRPr="000D35ED">
        <w:rPr>
          <w:rFonts w:ascii="Times New Roman" w:hAnsi="Times New Roman"/>
        </w:rPr>
        <w:t xml:space="preserve"> and subject to Finance Committee approval.</w:t>
      </w:r>
    </w:p>
    <w:p w:rsidR="000D35ED" w:rsidRPr="000D35ED" w:rsidRDefault="000D35ED" w:rsidP="000D35ED">
      <w:pPr>
        <w:spacing w:after="0" w:line="240" w:lineRule="auto"/>
        <w:ind w:firstLine="720"/>
        <w:rPr>
          <w:rFonts w:ascii="Times New Roman" w:hAnsi="Times New Roman"/>
        </w:rPr>
      </w:pPr>
    </w:p>
    <w:p w:rsidR="00EA074B" w:rsidRPr="006641B1" w:rsidRDefault="00EA074B" w:rsidP="000171EF">
      <w:pPr>
        <w:spacing w:after="0" w:line="240" w:lineRule="auto"/>
        <w:rPr>
          <w:rFonts w:ascii="Times New Roman" w:hAnsi="Times New Roman"/>
          <w:sz w:val="8"/>
        </w:rPr>
      </w:pPr>
    </w:p>
    <w:p w:rsidR="00FA0DD5" w:rsidRPr="00CB4C40" w:rsidRDefault="00FA0DD5" w:rsidP="00CE4D34">
      <w:pPr>
        <w:spacing w:after="120"/>
        <w:rPr>
          <w:rFonts w:ascii="Times New Roman" w:hAnsi="Times New Roman"/>
        </w:rPr>
      </w:pPr>
      <w:r w:rsidRPr="00CB4C40">
        <w:rPr>
          <w:rFonts w:ascii="Times New Roman" w:hAnsi="Times New Roman"/>
        </w:rPr>
        <w:t>For Consideration by the Sauk County Boa</w:t>
      </w:r>
      <w:r w:rsidR="00741457">
        <w:rPr>
          <w:rFonts w:ascii="Times New Roman" w:hAnsi="Times New Roman"/>
        </w:rPr>
        <w:t xml:space="preserve">rd of Supervisors on </w:t>
      </w:r>
      <w:r w:rsidR="00B25A11">
        <w:rPr>
          <w:rFonts w:ascii="Times New Roman" w:hAnsi="Times New Roman"/>
        </w:rPr>
        <w:t>Febr</w:t>
      </w:r>
      <w:r w:rsidR="00AC17AF">
        <w:rPr>
          <w:rFonts w:ascii="Times New Roman" w:hAnsi="Times New Roman"/>
        </w:rPr>
        <w:t>u</w:t>
      </w:r>
      <w:r w:rsidR="00411584">
        <w:rPr>
          <w:rFonts w:ascii="Times New Roman" w:hAnsi="Times New Roman"/>
        </w:rPr>
        <w:t>a</w:t>
      </w:r>
      <w:r w:rsidR="00741457" w:rsidRPr="00BC55D7">
        <w:rPr>
          <w:rFonts w:ascii="Times New Roman" w:hAnsi="Times New Roman"/>
        </w:rPr>
        <w:t xml:space="preserve">ry </w:t>
      </w:r>
      <w:r w:rsidR="00B25A11">
        <w:rPr>
          <w:rFonts w:ascii="Times New Roman" w:hAnsi="Times New Roman"/>
        </w:rPr>
        <w:t>15</w:t>
      </w:r>
      <w:r w:rsidRPr="00CB4C40">
        <w:rPr>
          <w:rFonts w:ascii="Times New Roman" w:hAnsi="Times New Roman"/>
        </w:rPr>
        <w:t>, 20</w:t>
      </w:r>
      <w:r w:rsidR="00AC17AF">
        <w:rPr>
          <w:rFonts w:ascii="Times New Roman" w:hAnsi="Times New Roman"/>
        </w:rPr>
        <w:t>2</w:t>
      </w:r>
      <w:r w:rsidRPr="00CB4C40">
        <w:rPr>
          <w:rFonts w:ascii="Times New Roman" w:hAnsi="Times New Roman"/>
        </w:rPr>
        <w:t>1.</w:t>
      </w:r>
    </w:p>
    <w:p w:rsidR="00FA0DD5" w:rsidRPr="006641B1" w:rsidRDefault="00FA0DD5">
      <w:pPr>
        <w:rPr>
          <w:rFonts w:ascii="Times New Roman" w:hAnsi="Times New Roman"/>
          <w:b/>
        </w:rPr>
      </w:pPr>
      <w:r w:rsidRPr="006641B1">
        <w:rPr>
          <w:rFonts w:ascii="Times New Roman" w:hAnsi="Times New Roman"/>
          <w:b/>
        </w:rPr>
        <w:t>SAUK COUNTY FINANCE COMMITTEE</w:t>
      </w: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AC2EEF" w:rsidRPr="00F36E33" w:rsidRDefault="00AC17AF" w:rsidP="00AC2EEF">
      <w:pPr>
        <w:pStyle w:val="DefaultText"/>
        <w:rPr>
          <w:sz w:val="22"/>
        </w:rPr>
      </w:pPr>
      <w:r>
        <w:rPr>
          <w:sz w:val="22"/>
        </w:rPr>
        <w:t>Martin F. Krueger</w:t>
      </w:r>
      <w:r w:rsidR="00A44FF3">
        <w:rPr>
          <w:sz w:val="22"/>
        </w:rPr>
        <w:t>, Chair</w:t>
      </w:r>
      <w:r w:rsidR="00A44FF3">
        <w:rPr>
          <w:sz w:val="22"/>
        </w:rPr>
        <w:tab/>
      </w:r>
      <w:r w:rsidR="00F36E33" w:rsidRPr="00F36E33">
        <w:rPr>
          <w:sz w:val="22"/>
        </w:rPr>
        <w:tab/>
      </w:r>
      <w:r>
        <w:rPr>
          <w:sz w:val="22"/>
        </w:rPr>
        <w:tab/>
        <w:t>Richard “Mike” Flint</w:t>
      </w:r>
    </w:p>
    <w:p w:rsidR="00C8682B" w:rsidRPr="006641B1" w:rsidRDefault="00C8682B" w:rsidP="00C8682B">
      <w:pPr>
        <w:pStyle w:val="DefaultText"/>
        <w:rPr>
          <w:sz w:val="18"/>
        </w:rPr>
      </w:pPr>
    </w:p>
    <w:p w:rsidR="00C8682B" w:rsidRPr="00F36E33" w:rsidRDefault="00C8682B" w:rsidP="00C8682B">
      <w:pPr>
        <w:pStyle w:val="DefaultText"/>
        <w:rPr>
          <w:sz w:val="22"/>
        </w:rPr>
      </w:pPr>
      <w:r w:rsidRPr="00F36E33">
        <w:rPr>
          <w:sz w:val="22"/>
        </w:rPr>
        <w:t>______________________________</w:t>
      </w:r>
      <w:r w:rsidRPr="00F36E33">
        <w:rPr>
          <w:sz w:val="22"/>
        </w:rPr>
        <w:tab/>
      </w:r>
      <w:r w:rsidR="00F36E33">
        <w:rPr>
          <w:sz w:val="22"/>
        </w:rPr>
        <w:tab/>
      </w:r>
      <w:r w:rsidRPr="00F36E33">
        <w:rPr>
          <w:sz w:val="22"/>
        </w:rPr>
        <w:t>__________________________________</w:t>
      </w:r>
    </w:p>
    <w:p w:rsidR="00C8682B" w:rsidRPr="00F36E33" w:rsidRDefault="00AC17AF" w:rsidP="00C8682B">
      <w:pPr>
        <w:pStyle w:val="DefaultText"/>
        <w:rPr>
          <w:sz w:val="22"/>
        </w:rPr>
      </w:pPr>
      <w:r>
        <w:rPr>
          <w:sz w:val="22"/>
        </w:rPr>
        <w:t>Thomas Dorner</w:t>
      </w:r>
      <w:r w:rsidR="00C8682B" w:rsidRPr="00F36E33">
        <w:rPr>
          <w:sz w:val="22"/>
        </w:rPr>
        <w:tab/>
      </w:r>
      <w:r w:rsidR="00C8682B" w:rsidRPr="00F36E33">
        <w:rPr>
          <w:sz w:val="22"/>
        </w:rPr>
        <w:tab/>
      </w:r>
      <w:r w:rsidR="00C8682B" w:rsidRPr="00F36E33">
        <w:rPr>
          <w:sz w:val="22"/>
        </w:rPr>
        <w:tab/>
      </w:r>
      <w:r>
        <w:rPr>
          <w:sz w:val="22"/>
        </w:rPr>
        <w:tab/>
      </w:r>
      <w:r>
        <w:rPr>
          <w:sz w:val="22"/>
        </w:rPr>
        <w:tab/>
        <w:t>Timothy McCumber</w:t>
      </w:r>
    </w:p>
    <w:p w:rsidR="00C8682B" w:rsidRPr="006641B1" w:rsidRDefault="00C8682B" w:rsidP="00C8682B">
      <w:pPr>
        <w:pStyle w:val="DefaultText"/>
        <w:rPr>
          <w:sz w:val="18"/>
        </w:rPr>
      </w:pPr>
    </w:p>
    <w:p w:rsidR="00A44FF3" w:rsidRDefault="00A44FF3" w:rsidP="00C8682B">
      <w:pPr>
        <w:pStyle w:val="DefaultText"/>
        <w:rPr>
          <w:sz w:val="22"/>
        </w:rPr>
      </w:pPr>
      <w:r w:rsidRPr="00F36E33">
        <w:rPr>
          <w:sz w:val="22"/>
        </w:rPr>
        <w:t>______________________________</w:t>
      </w:r>
    </w:p>
    <w:p w:rsidR="00A44FF3" w:rsidRDefault="00AC17AF" w:rsidP="00C8682B">
      <w:pPr>
        <w:pStyle w:val="DefaultText"/>
        <w:rPr>
          <w:sz w:val="22"/>
        </w:rPr>
      </w:pPr>
      <w:r>
        <w:rPr>
          <w:sz w:val="22"/>
        </w:rPr>
        <w:t>Lynn Eberl</w:t>
      </w:r>
    </w:p>
    <w:p w:rsidR="00B25A11" w:rsidRDefault="00B25A11" w:rsidP="002C2B2D">
      <w:pPr>
        <w:spacing w:after="0"/>
        <w:rPr>
          <w:rFonts w:ascii="Times New Roman" w:hAnsi="Times New Roman"/>
          <w:b/>
          <w:sz w:val="18"/>
        </w:rPr>
      </w:pPr>
    </w:p>
    <w:p w:rsidR="00675749" w:rsidRDefault="00675749" w:rsidP="002C2B2D">
      <w:pPr>
        <w:spacing w:after="0"/>
        <w:rPr>
          <w:rFonts w:ascii="Times New Roman" w:hAnsi="Times New Roman"/>
          <w:b/>
          <w:sz w:val="18"/>
        </w:rPr>
      </w:pPr>
    </w:p>
    <w:p w:rsidR="00675749" w:rsidRDefault="00675749" w:rsidP="002C2B2D">
      <w:pPr>
        <w:spacing w:after="0"/>
        <w:rPr>
          <w:rFonts w:ascii="Times New Roman" w:hAnsi="Times New Roman"/>
          <w:b/>
          <w:sz w:val="18"/>
        </w:rPr>
      </w:pPr>
    </w:p>
    <w:p w:rsidR="00675749" w:rsidRDefault="00675749" w:rsidP="002C2B2D">
      <w:pPr>
        <w:spacing w:after="0"/>
        <w:rPr>
          <w:rFonts w:ascii="Times New Roman" w:hAnsi="Times New Roman"/>
          <w:b/>
          <w:sz w:val="18"/>
        </w:rPr>
      </w:pPr>
    </w:p>
    <w:p w:rsidR="00675749" w:rsidRDefault="00675749" w:rsidP="002C2B2D">
      <w:pPr>
        <w:spacing w:after="0"/>
        <w:rPr>
          <w:rFonts w:ascii="Times New Roman" w:hAnsi="Times New Roman"/>
          <w:b/>
          <w:sz w:val="18"/>
        </w:rPr>
      </w:pPr>
    </w:p>
    <w:p w:rsidR="00AB7352" w:rsidRPr="00807657" w:rsidRDefault="00FA0DD5" w:rsidP="002C2B2D">
      <w:pPr>
        <w:spacing w:after="0"/>
        <w:rPr>
          <w:rFonts w:ascii="Times New Roman" w:hAnsi="Times New Roman"/>
          <w:sz w:val="20"/>
        </w:rPr>
      </w:pPr>
      <w:r w:rsidRPr="00807657">
        <w:rPr>
          <w:rFonts w:ascii="Times New Roman" w:hAnsi="Times New Roman"/>
          <w:b/>
          <w:sz w:val="20"/>
        </w:rPr>
        <w:t>FISCAL NOTE:</w:t>
      </w:r>
      <w:r w:rsidRPr="00807657">
        <w:rPr>
          <w:rFonts w:ascii="Times New Roman" w:hAnsi="Times New Roman"/>
          <w:sz w:val="20"/>
        </w:rPr>
        <w:t xml:space="preserve">  </w:t>
      </w:r>
      <w:r w:rsidR="00B25A11" w:rsidRPr="00807657">
        <w:rPr>
          <w:rFonts w:ascii="Times New Roman" w:hAnsi="Times New Roman"/>
          <w:sz w:val="20"/>
        </w:rPr>
        <w:t xml:space="preserve">Funding for provision of these services </w:t>
      </w:r>
      <w:proofErr w:type="gramStart"/>
      <w:r w:rsidR="00B25A11" w:rsidRPr="00807657">
        <w:rPr>
          <w:rFonts w:ascii="Times New Roman" w:hAnsi="Times New Roman"/>
          <w:sz w:val="20"/>
        </w:rPr>
        <w:t>will be taken</w:t>
      </w:r>
      <w:proofErr w:type="gramEnd"/>
      <w:r w:rsidR="00B25A11" w:rsidRPr="00807657">
        <w:rPr>
          <w:rFonts w:ascii="Times New Roman" w:hAnsi="Times New Roman"/>
          <w:sz w:val="20"/>
        </w:rPr>
        <w:t xml:space="preserve"> from the proceeds of any debt issued.</w:t>
      </w:r>
    </w:p>
    <w:p w:rsidR="004D5B6C" w:rsidRPr="00807657" w:rsidRDefault="004D5B6C" w:rsidP="002C2B2D">
      <w:pPr>
        <w:spacing w:after="0"/>
        <w:rPr>
          <w:rFonts w:ascii="Times New Roman" w:hAnsi="Times New Roman"/>
          <w:sz w:val="20"/>
        </w:rPr>
      </w:pPr>
    </w:p>
    <w:p w:rsidR="00807657" w:rsidRPr="00807657" w:rsidRDefault="00807657" w:rsidP="002C2B2D">
      <w:pPr>
        <w:spacing w:after="0"/>
        <w:rPr>
          <w:rFonts w:ascii="Times New Roman" w:hAnsi="Times New Roman"/>
          <w:sz w:val="20"/>
        </w:rPr>
      </w:pPr>
      <w:r w:rsidRPr="00807657">
        <w:rPr>
          <w:rFonts w:ascii="Times New Roman" w:hAnsi="Times New Roman"/>
          <w:sz w:val="20"/>
        </w:rPr>
        <w:t xml:space="preserve">The below fees are only for serving in the role of financial advisor.  If bonded debt </w:t>
      </w:r>
      <w:proofErr w:type="gramStart"/>
      <w:r w:rsidRPr="00807657">
        <w:rPr>
          <w:rFonts w:ascii="Times New Roman" w:hAnsi="Times New Roman"/>
          <w:sz w:val="20"/>
        </w:rPr>
        <w:t>is issued</w:t>
      </w:r>
      <w:proofErr w:type="gramEnd"/>
      <w:r w:rsidRPr="00807657">
        <w:rPr>
          <w:rFonts w:ascii="Times New Roman" w:hAnsi="Times New Roman"/>
          <w:sz w:val="20"/>
        </w:rPr>
        <w:t>, the County will also incur a cost for one or more underwriters to purchase the bonds.</w:t>
      </w:r>
    </w:p>
    <w:tbl>
      <w:tblPr>
        <w:tblStyle w:val="TableGrid"/>
        <w:tblW w:w="0" w:type="auto"/>
        <w:jc w:val="center"/>
        <w:tblBorders>
          <w:top w:val="none" w:sz="0" w:space="0" w:color="auto"/>
          <w:left w:val="none" w:sz="0" w:space="0" w:color="auto"/>
        </w:tblBorders>
        <w:tblLook w:val="04A0" w:firstRow="1" w:lastRow="0" w:firstColumn="1" w:lastColumn="0" w:noHBand="0" w:noVBand="1"/>
      </w:tblPr>
      <w:tblGrid>
        <w:gridCol w:w="2700"/>
        <w:gridCol w:w="3780"/>
        <w:gridCol w:w="3446"/>
      </w:tblGrid>
      <w:tr w:rsidR="00807657" w:rsidRPr="00807657" w:rsidTr="00807657">
        <w:trPr>
          <w:jc w:val="center"/>
        </w:trPr>
        <w:tc>
          <w:tcPr>
            <w:tcW w:w="2700" w:type="dxa"/>
            <w:tcBorders>
              <w:top w:val="nil"/>
              <w:left w:val="nil"/>
              <w:right w:val="nil"/>
            </w:tcBorders>
            <w:vAlign w:val="center"/>
          </w:tcPr>
          <w:p w:rsidR="00807657" w:rsidRPr="00807657" w:rsidRDefault="00807657" w:rsidP="00807657">
            <w:pPr>
              <w:spacing w:after="0"/>
              <w:rPr>
                <w:rFonts w:ascii="Times New Roman" w:hAnsi="Times New Roman"/>
                <w:sz w:val="20"/>
              </w:rPr>
            </w:pPr>
          </w:p>
        </w:tc>
        <w:tc>
          <w:tcPr>
            <w:tcW w:w="3780" w:type="dxa"/>
            <w:tcBorders>
              <w:top w:val="nil"/>
              <w:left w:val="nil"/>
            </w:tcBorders>
            <w:vAlign w:val="center"/>
          </w:tcPr>
          <w:p w:rsidR="00807657" w:rsidRPr="00807657" w:rsidRDefault="00807657" w:rsidP="00807657">
            <w:pPr>
              <w:spacing w:after="0"/>
              <w:jc w:val="right"/>
              <w:rPr>
                <w:rFonts w:ascii="Times New Roman" w:hAnsi="Times New Roman"/>
                <w:sz w:val="20"/>
              </w:rPr>
            </w:pPr>
          </w:p>
        </w:tc>
        <w:tc>
          <w:tcPr>
            <w:tcW w:w="3446" w:type="dxa"/>
            <w:tcBorders>
              <w:top w:val="single" w:sz="4" w:space="0" w:color="auto"/>
            </w:tcBorders>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If Sauk County issue</w:t>
            </w:r>
            <w:r>
              <w:rPr>
                <w:rFonts w:ascii="Times New Roman" w:hAnsi="Times New Roman"/>
                <w:sz w:val="20"/>
              </w:rPr>
              <w:t>s</w:t>
            </w:r>
            <w:r w:rsidRPr="00807657">
              <w:rPr>
                <w:rFonts w:ascii="Times New Roman" w:hAnsi="Times New Roman"/>
                <w:sz w:val="20"/>
              </w:rPr>
              <w:t xml:space="preserve"> bonds for $25 million, the fee would be:</w:t>
            </w:r>
          </w:p>
        </w:tc>
      </w:tr>
      <w:tr w:rsidR="00807657" w:rsidRPr="00807657" w:rsidTr="00807657">
        <w:trPr>
          <w:jc w:val="center"/>
        </w:trPr>
        <w:tc>
          <w:tcPr>
            <w:tcW w:w="2700" w:type="dxa"/>
            <w:tcBorders>
              <w:top w:val="single" w:sz="4" w:space="0" w:color="auto"/>
              <w:left w:val="single" w:sz="4" w:space="0" w:color="auto"/>
            </w:tcBorders>
            <w:vAlign w:val="center"/>
          </w:tcPr>
          <w:p w:rsidR="00807657" w:rsidRPr="00807657" w:rsidRDefault="00807657" w:rsidP="00807657">
            <w:pPr>
              <w:spacing w:after="0"/>
              <w:rPr>
                <w:rFonts w:ascii="Times New Roman" w:hAnsi="Times New Roman"/>
                <w:sz w:val="20"/>
              </w:rPr>
            </w:pPr>
            <w:r w:rsidRPr="00807657">
              <w:rPr>
                <w:rFonts w:ascii="Times New Roman" w:hAnsi="Times New Roman"/>
                <w:sz w:val="20"/>
              </w:rPr>
              <w:t>Baker Tilly Municipal Advisors, LLC</w:t>
            </w:r>
          </w:p>
        </w:tc>
        <w:tc>
          <w:tcPr>
            <w:tcW w:w="3780" w:type="dxa"/>
            <w:tcBorders>
              <w:top w:val="single" w:sz="4" w:space="0" w:color="auto"/>
            </w:tcBorders>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$7,500 base fee</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$5 per $1,000 for the first $2,500,000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 per $1,000 for amounts over $2,500,000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Max issuance fee $35,000</w:t>
            </w:r>
          </w:p>
        </w:tc>
        <w:tc>
          <w:tcPr>
            <w:tcW w:w="3446" w:type="dxa"/>
            <w:tcBorders>
              <w:top w:val="single" w:sz="4" w:space="0" w:color="auto"/>
            </w:tcBorders>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$35,000</w:t>
            </w:r>
          </w:p>
        </w:tc>
      </w:tr>
      <w:tr w:rsidR="00807657" w:rsidRPr="00807657" w:rsidTr="00807657">
        <w:trPr>
          <w:jc w:val="center"/>
        </w:trPr>
        <w:tc>
          <w:tcPr>
            <w:tcW w:w="2700" w:type="dxa"/>
            <w:tcBorders>
              <w:top w:val="single" w:sz="4" w:space="0" w:color="auto"/>
              <w:left w:val="single" w:sz="4" w:space="0" w:color="auto"/>
            </w:tcBorders>
            <w:vAlign w:val="center"/>
          </w:tcPr>
          <w:p w:rsidR="00807657" w:rsidRPr="00807657" w:rsidRDefault="00807657" w:rsidP="00807657">
            <w:pPr>
              <w:spacing w:after="0"/>
              <w:rPr>
                <w:rFonts w:ascii="Times New Roman" w:hAnsi="Times New Roman"/>
                <w:sz w:val="20"/>
              </w:rPr>
            </w:pPr>
            <w:r w:rsidRPr="00807657">
              <w:rPr>
                <w:rFonts w:ascii="Times New Roman" w:hAnsi="Times New Roman"/>
                <w:sz w:val="20"/>
              </w:rPr>
              <w:t>Ehlers</w:t>
            </w:r>
          </w:p>
        </w:tc>
        <w:tc>
          <w:tcPr>
            <w:tcW w:w="3780"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0-$9,999,999 flat fee $15,000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$10-$19,999,999 flat fee $17,500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$20-$29,999,999 flat fee $22,500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$30,000,000+ flat fee $27,500</w:t>
            </w:r>
          </w:p>
        </w:tc>
        <w:tc>
          <w:tcPr>
            <w:tcW w:w="3446"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$22,500</w:t>
            </w:r>
          </w:p>
        </w:tc>
      </w:tr>
      <w:tr w:rsidR="00807657" w:rsidRPr="00807657" w:rsidTr="00807657">
        <w:trPr>
          <w:jc w:val="center"/>
        </w:trPr>
        <w:tc>
          <w:tcPr>
            <w:tcW w:w="2700" w:type="dxa"/>
            <w:tcBorders>
              <w:top w:val="single" w:sz="4" w:space="0" w:color="auto"/>
              <w:left w:val="single" w:sz="4" w:space="0" w:color="auto"/>
            </w:tcBorders>
            <w:vAlign w:val="center"/>
          </w:tcPr>
          <w:p w:rsidR="00807657" w:rsidRPr="00807657" w:rsidRDefault="00807657" w:rsidP="00807657">
            <w:pPr>
              <w:spacing w:after="0"/>
              <w:rPr>
                <w:rFonts w:ascii="Times New Roman" w:hAnsi="Times New Roman"/>
                <w:sz w:val="20"/>
              </w:rPr>
            </w:pPr>
            <w:r w:rsidRPr="00807657">
              <w:rPr>
                <w:rFonts w:ascii="Times New Roman" w:hAnsi="Times New Roman"/>
                <w:sz w:val="20"/>
              </w:rPr>
              <w:t>PFM Financial Advisors LLC</w:t>
            </w:r>
          </w:p>
        </w:tc>
        <w:tc>
          <w:tcPr>
            <w:tcW w:w="3780"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$16,500 per issue</w:t>
            </w:r>
          </w:p>
        </w:tc>
        <w:tc>
          <w:tcPr>
            <w:tcW w:w="3446"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$16,500</w:t>
            </w:r>
          </w:p>
        </w:tc>
      </w:tr>
      <w:tr w:rsidR="00807657" w:rsidRPr="00807657" w:rsidTr="00807657">
        <w:trPr>
          <w:jc w:val="center"/>
        </w:trPr>
        <w:tc>
          <w:tcPr>
            <w:tcW w:w="2700" w:type="dxa"/>
            <w:tcBorders>
              <w:top w:val="single" w:sz="4" w:space="0" w:color="auto"/>
              <w:left w:val="single" w:sz="4" w:space="0" w:color="auto"/>
            </w:tcBorders>
            <w:vAlign w:val="center"/>
          </w:tcPr>
          <w:p w:rsidR="00807657" w:rsidRPr="00807657" w:rsidRDefault="00807657" w:rsidP="00807657">
            <w:pPr>
              <w:spacing w:after="0"/>
              <w:rPr>
                <w:rFonts w:ascii="Times New Roman" w:hAnsi="Times New Roman"/>
                <w:sz w:val="20"/>
              </w:rPr>
            </w:pPr>
            <w:r w:rsidRPr="00807657">
              <w:rPr>
                <w:rFonts w:ascii="Times New Roman" w:hAnsi="Times New Roman"/>
                <w:sz w:val="20"/>
              </w:rPr>
              <w:t>PMA Securities , LLC</w:t>
            </w:r>
          </w:p>
        </w:tc>
        <w:tc>
          <w:tcPr>
            <w:tcW w:w="3780"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$15,000 per issue</w:t>
            </w:r>
          </w:p>
        </w:tc>
        <w:tc>
          <w:tcPr>
            <w:tcW w:w="3446"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$15,000</w:t>
            </w:r>
          </w:p>
        </w:tc>
      </w:tr>
      <w:tr w:rsidR="00807657" w:rsidRPr="00807657" w:rsidTr="00807657">
        <w:trPr>
          <w:jc w:val="center"/>
        </w:trPr>
        <w:tc>
          <w:tcPr>
            <w:tcW w:w="2700" w:type="dxa"/>
            <w:tcBorders>
              <w:top w:val="single" w:sz="4" w:space="0" w:color="auto"/>
              <w:left w:val="single" w:sz="4" w:space="0" w:color="auto"/>
            </w:tcBorders>
            <w:vAlign w:val="center"/>
          </w:tcPr>
          <w:p w:rsidR="00807657" w:rsidRPr="00807657" w:rsidRDefault="00807657" w:rsidP="00807657">
            <w:pPr>
              <w:spacing w:after="0"/>
              <w:rPr>
                <w:rFonts w:ascii="Times New Roman" w:hAnsi="Times New Roman"/>
                <w:sz w:val="20"/>
              </w:rPr>
            </w:pPr>
            <w:r w:rsidRPr="00807657">
              <w:rPr>
                <w:rFonts w:ascii="Times New Roman" w:hAnsi="Times New Roman"/>
                <w:sz w:val="20"/>
              </w:rPr>
              <w:t>Robert W. Baird &amp; Co. Inc.</w:t>
            </w:r>
          </w:p>
        </w:tc>
        <w:tc>
          <w:tcPr>
            <w:tcW w:w="3780"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0.20% of par, min $14,000, max $55,000</w:t>
            </w:r>
          </w:p>
        </w:tc>
        <w:tc>
          <w:tcPr>
            <w:tcW w:w="3446"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$50,000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If the County engages Baird as underwriter for a negotiated sale (as it has in the past), the County would only pay the underwriter discount and Official Statement fee</w:t>
            </w:r>
            <w:r w:rsidR="008D315C">
              <w:rPr>
                <w:rFonts w:ascii="Times New Roman" w:hAnsi="Times New Roman"/>
                <w:sz w:val="20"/>
              </w:rPr>
              <w:t xml:space="preserve"> of $4,800</w:t>
            </w:r>
            <w:r w:rsidRPr="00807657">
              <w:rPr>
                <w:rFonts w:ascii="Times New Roman" w:hAnsi="Times New Roman"/>
                <w:sz w:val="20"/>
              </w:rPr>
              <w:t xml:space="preserve"> but not the Financial Advisor fee.</w:t>
            </w:r>
            <w:bookmarkStart w:id="0" w:name="_GoBack"/>
            <w:bookmarkEnd w:id="0"/>
          </w:p>
        </w:tc>
      </w:tr>
      <w:tr w:rsidR="00807657" w:rsidRPr="00807657" w:rsidTr="00807657">
        <w:trPr>
          <w:jc w:val="center"/>
        </w:trPr>
        <w:tc>
          <w:tcPr>
            <w:tcW w:w="2700" w:type="dxa"/>
            <w:tcBorders>
              <w:top w:val="single" w:sz="4" w:space="0" w:color="auto"/>
              <w:left w:val="single" w:sz="4" w:space="0" w:color="auto"/>
            </w:tcBorders>
            <w:vAlign w:val="center"/>
          </w:tcPr>
          <w:p w:rsidR="00807657" w:rsidRPr="00807657" w:rsidRDefault="00807657" w:rsidP="00807657">
            <w:pPr>
              <w:spacing w:after="0"/>
              <w:rPr>
                <w:rFonts w:ascii="Times New Roman" w:hAnsi="Times New Roman"/>
                <w:sz w:val="20"/>
              </w:rPr>
            </w:pPr>
            <w:r w:rsidRPr="00807657">
              <w:rPr>
                <w:rFonts w:ascii="Times New Roman" w:hAnsi="Times New Roman"/>
                <w:sz w:val="20"/>
              </w:rPr>
              <w:t>Wisconsin Public Finance Professionals, LLC</w:t>
            </w:r>
          </w:p>
        </w:tc>
        <w:tc>
          <w:tcPr>
            <w:tcW w:w="3780"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&lt;$5 million  $18,500 minimum</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$5 to &lt;$10 million  $21,500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$10 to &lt;$15 million  $24,500</w:t>
            </w:r>
          </w:p>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$15 million</w:t>
            </w:r>
            <w:r>
              <w:rPr>
                <w:rFonts w:ascii="Times New Roman" w:hAnsi="Times New Roman"/>
                <w:sz w:val="20"/>
              </w:rPr>
              <w:t xml:space="preserve"> or more</w:t>
            </w:r>
            <w:r w:rsidRPr="00807657">
              <w:rPr>
                <w:rFonts w:ascii="Times New Roman" w:hAnsi="Times New Roman"/>
                <w:sz w:val="20"/>
              </w:rPr>
              <w:t xml:space="preserve">  $27,500 maximum</w:t>
            </w:r>
          </w:p>
        </w:tc>
        <w:tc>
          <w:tcPr>
            <w:tcW w:w="3446" w:type="dxa"/>
            <w:vAlign w:val="center"/>
          </w:tcPr>
          <w:p w:rsidR="00807657" w:rsidRPr="00807657" w:rsidRDefault="00807657" w:rsidP="00807657">
            <w:pPr>
              <w:spacing w:after="0"/>
              <w:jc w:val="right"/>
              <w:rPr>
                <w:rFonts w:ascii="Times New Roman" w:hAnsi="Times New Roman"/>
                <w:sz w:val="20"/>
              </w:rPr>
            </w:pPr>
            <w:r w:rsidRPr="00807657">
              <w:rPr>
                <w:rFonts w:ascii="Times New Roman" w:hAnsi="Times New Roman"/>
                <w:sz w:val="20"/>
              </w:rPr>
              <w:t>$27,500</w:t>
            </w:r>
          </w:p>
        </w:tc>
      </w:tr>
    </w:tbl>
    <w:p w:rsidR="004D5B6C" w:rsidRPr="00807657" w:rsidRDefault="004D5B6C" w:rsidP="002C2B2D">
      <w:pPr>
        <w:spacing w:after="0"/>
        <w:rPr>
          <w:rFonts w:ascii="Times New Roman" w:hAnsi="Times New Roman"/>
          <w:sz w:val="20"/>
        </w:rPr>
      </w:pPr>
    </w:p>
    <w:p w:rsidR="00B25A11" w:rsidRPr="00807657" w:rsidRDefault="00B25A11" w:rsidP="002C2B2D">
      <w:pPr>
        <w:spacing w:after="0"/>
        <w:rPr>
          <w:rFonts w:ascii="Times New Roman" w:hAnsi="Times New Roman"/>
          <w:b/>
          <w:sz w:val="20"/>
        </w:rPr>
      </w:pPr>
    </w:p>
    <w:p w:rsidR="000D35ED" w:rsidRPr="00807657" w:rsidRDefault="001D1A5C" w:rsidP="002C2B2D">
      <w:pPr>
        <w:spacing w:after="0"/>
        <w:rPr>
          <w:rFonts w:ascii="Times New Roman" w:hAnsi="Times New Roman"/>
          <w:sz w:val="20"/>
        </w:rPr>
      </w:pPr>
      <w:r w:rsidRPr="00807657">
        <w:rPr>
          <w:rFonts w:ascii="Times New Roman" w:hAnsi="Times New Roman"/>
          <w:b/>
          <w:sz w:val="20"/>
        </w:rPr>
        <w:t>MIS NOTE:</w:t>
      </w:r>
      <w:r w:rsidRPr="00807657">
        <w:rPr>
          <w:rFonts w:ascii="Times New Roman" w:hAnsi="Times New Roman"/>
          <w:sz w:val="20"/>
        </w:rPr>
        <w:t xml:space="preserve">  No MIS impact.</w:t>
      </w:r>
    </w:p>
    <w:sectPr w:rsidR="000D35ED" w:rsidRPr="00807657" w:rsidSect="004D5B6C">
      <w:headerReference w:type="default" r:id="rId8"/>
      <w:pgSz w:w="12240" w:h="15840"/>
      <w:pgMar w:top="288" w:right="1152" w:bottom="28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7D" w:rsidRDefault="00DD477D" w:rsidP="0090674F">
      <w:pPr>
        <w:spacing w:after="0" w:line="240" w:lineRule="auto"/>
      </w:pPr>
      <w:r>
        <w:separator/>
      </w:r>
    </w:p>
  </w:endnote>
  <w:endnote w:type="continuationSeparator" w:id="0">
    <w:p w:rsidR="00DD477D" w:rsidRDefault="00DD477D" w:rsidP="0090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7D" w:rsidRDefault="00DD477D" w:rsidP="0090674F">
      <w:pPr>
        <w:spacing w:after="0" w:line="240" w:lineRule="auto"/>
      </w:pPr>
      <w:r>
        <w:separator/>
      </w:r>
    </w:p>
  </w:footnote>
  <w:footnote w:type="continuationSeparator" w:id="0">
    <w:p w:rsidR="00DD477D" w:rsidRDefault="00DD477D" w:rsidP="0090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6C" w:rsidRPr="00E22B73" w:rsidRDefault="004D5B6C" w:rsidP="004D5B6C">
    <w:pPr>
      <w:pStyle w:val="DefaultText"/>
      <w:rPr>
        <w:color w:val="auto"/>
      </w:rPr>
    </w:pPr>
    <w:r w:rsidRPr="00E22B73">
      <w:rPr>
        <w:color w:val="auto"/>
      </w:rPr>
      <w:t xml:space="preserve">Resolution ________ - </w:t>
    </w:r>
    <w:proofErr w:type="gramStart"/>
    <w:r w:rsidRPr="00E22B73">
      <w:rPr>
        <w:color w:val="auto"/>
      </w:rPr>
      <w:t>2021  Authorizing</w:t>
    </w:r>
    <w:proofErr w:type="gramEnd"/>
    <w:r w:rsidRPr="00E22B73">
      <w:rPr>
        <w:color w:val="auto"/>
      </w:rPr>
      <w:t xml:space="preserve"> a Contractual Agreement with </w:t>
    </w:r>
    <w:r w:rsidR="00851AB8">
      <w:rPr>
        <w:color w:val="auto"/>
      </w:rPr>
      <w:t>PMA Securities, LLC</w:t>
    </w:r>
    <w:r w:rsidRPr="00E22B73">
      <w:rPr>
        <w:color w:val="auto"/>
      </w:rPr>
      <w:t xml:space="preserve"> for Financial Advisor Services Related to Debt Management</w:t>
    </w:r>
  </w:p>
  <w:p w:rsidR="004D5B6C" w:rsidRPr="00E22B73" w:rsidRDefault="004D5B6C" w:rsidP="004D5B6C">
    <w:pPr>
      <w:pStyle w:val="DefaultText"/>
      <w:rPr>
        <w:color w:val="auto"/>
      </w:rPr>
    </w:pPr>
    <w:r w:rsidRPr="00E22B73">
      <w:rPr>
        <w:color w:val="auto"/>
      </w:rPr>
      <w:t>Page 2 of 2</w:t>
    </w:r>
  </w:p>
  <w:p w:rsidR="0090674F" w:rsidRDefault="0090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C62DC"/>
    <w:multiLevelType w:val="hybridMultilevel"/>
    <w:tmpl w:val="C058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D5"/>
    <w:rsid w:val="000171EF"/>
    <w:rsid w:val="00023820"/>
    <w:rsid w:val="000403E7"/>
    <w:rsid w:val="00053C3A"/>
    <w:rsid w:val="00057DF4"/>
    <w:rsid w:val="00087B9F"/>
    <w:rsid w:val="0009666F"/>
    <w:rsid w:val="00096854"/>
    <w:rsid w:val="000D1E6B"/>
    <w:rsid w:val="000D35ED"/>
    <w:rsid w:val="001073EA"/>
    <w:rsid w:val="00127817"/>
    <w:rsid w:val="00153D55"/>
    <w:rsid w:val="00161A9C"/>
    <w:rsid w:val="00170E8A"/>
    <w:rsid w:val="00187775"/>
    <w:rsid w:val="00191B69"/>
    <w:rsid w:val="001A644B"/>
    <w:rsid w:val="001B673E"/>
    <w:rsid w:val="001C3AB2"/>
    <w:rsid w:val="001D1A5C"/>
    <w:rsid w:val="001D79BA"/>
    <w:rsid w:val="001D7B0F"/>
    <w:rsid w:val="001E0BCD"/>
    <w:rsid w:val="001E2B6E"/>
    <w:rsid w:val="002070A3"/>
    <w:rsid w:val="00242349"/>
    <w:rsid w:val="00265836"/>
    <w:rsid w:val="002712F6"/>
    <w:rsid w:val="002C2B2D"/>
    <w:rsid w:val="00310316"/>
    <w:rsid w:val="00325F89"/>
    <w:rsid w:val="003336AA"/>
    <w:rsid w:val="003454CF"/>
    <w:rsid w:val="00387D5B"/>
    <w:rsid w:val="003A3BFC"/>
    <w:rsid w:val="003B54E0"/>
    <w:rsid w:val="003D4D0C"/>
    <w:rsid w:val="003E7FD4"/>
    <w:rsid w:val="00411584"/>
    <w:rsid w:val="00414B98"/>
    <w:rsid w:val="004A6623"/>
    <w:rsid w:val="004C1849"/>
    <w:rsid w:val="004D5B6C"/>
    <w:rsid w:val="004F5BAB"/>
    <w:rsid w:val="004F7298"/>
    <w:rsid w:val="00533EE9"/>
    <w:rsid w:val="005407A2"/>
    <w:rsid w:val="00564DA7"/>
    <w:rsid w:val="0058611E"/>
    <w:rsid w:val="005D2A6A"/>
    <w:rsid w:val="005E464C"/>
    <w:rsid w:val="005E4D19"/>
    <w:rsid w:val="006641B1"/>
    <w:rsid w:val="0066710B"/>
    <w:rsid w:val="00675749"/>
    <w:rsid w:val="00691EF6"/>
    <w:rsid w:val="006A125C"/>
    <w:rsid w:val="006C2C0A"/>
    <w:rsid w:val="006C3A7F"/>
    <w:rsid w:val="006D4B07"/>
    <w:rsid w:val="006E7BF5"/>
    <w:rsid w:val="0071175B"/>
    <w:rsid w:val="00713D98"/>
    <w:rsid w:val="00741457"/>
    <w:rsid w:val="0076061C"/>
    <w:rsid w:val="0077393E"/>
    <w:rsid w:val="007F6CBC"/>
    <w:rsid w:val="00807657"/>
    <w:rsid w:val="00823BDC"/>
    <w:rsid w:val="00851AB8"/>
    <w:rsid w:val="008904D3"/>
    <w:rsid w:val="0089330F"/>
    <w:rsid w:val="0089570A"/>
    <w:rsid w:val="008C5363"/>
    <w:rsid w:val="008D315C"/>
    <w:rsid w:val="008E65CE"/>
    <w:rsid w:val="0090674F"/>
    <w:rsid w:val="00915034"/>
    <w:rsid w:val="00923ECE"/>
    <w:rsid w:val="0092410F"/>
    <w:rsid w:val="0094316E"/>
    <w:rsid w:val="0095649E"/>
    <w:rsid w:val="009A44C7"/>
    <w:rsid w:val="009C679C"/>
    <w:rsid w:val="009F1844"/>
    <w:rsid w:val="00A00C44"/>
    <w:rsid w:val="00A07A4D"/>
    <w:rsid w:val="00A17187"/>
    <w:rsid w:val="00A25A8E"/>
    <w:rsid w:val="00A42175"/>
    <w:rsid w:val="00A44FF3"/>
    <w:rsid w:val="00A5564E"/>
    <w:rsid w:val="00A8285F"/>
    <w:rsid w:val="00A86B07"/>
    <w:rsid w:val="00AB7352"/>
    <w:rsid w:val="00AC17AF"/>
    <w:rsid w:val="00AC2EEF"/>
    <w:rsid w:val="00B13903"/>
    <w:rsid w:val="00B25426"/>
    <w:rsid w:val="00B25A11"/>
    <w:rsid w:val="00B36613"/>
    <w:rsid w:val="00B54D67"/>
    <w:rsid w:val="00B82C81"/>
    <w:rsid w:val="00BA39DB"/>
    <w:rsid w:val="00BA58D1"/>
    <w:rsid w:val="00BC55D7"/>
    <w:rsid w:val="00BD7EC6"/>
    <w:rsid w:val="00BE4CEE"/>
    <w:rsid w:val="00BF20F4"/>
    <w:rsid w:val="00C17AD9"/>
    <w:rsid w:val="00C27E6F"/>
    <w:rsid w:val="00C33A4F"/>
    <w:rsid w:val="00C8682B"/>
    <w:rsid w:val="00CA1099"/>
    <w:rsid w:val="00CB4C40"/>
    <w:rsid w:val="00CD33D4"/>
    <w:rsid w:val="00CE3022"/>
    <w:rsid w:val="00CE4B05"/>
    <w:rsid w:val="00CE4D34"/>
    <w:rsid w:val="00D25C7E"/>
    <w:rsid w:val="00D437F6"/>
    <w:rsid w:val="00D65B22"/>
    <w:rsid w:val="00D71CE1"/>
    <w:rsid w:val="00DA79E6"/>
    <w:rsid w:val="00DC73CE"/>
    <w:rsid w:val="00DD477D"/>
    <w:rsid w:val="00E03CB5"/>
    <w:rsid w:val="00E22B73"/>
    <w:rsid w:val="00E419C3"/>
    <w:rsid w:val="00E6151F"/>
    <w:rsid w:val="00E93C81"/>
    <w:rsid w:val="00EA074B"/>
    <w:rsid w:val="00EA2A27"/>
    <w:rsid w:val="00EA5446"/>
    <w:rsid w:val="00EA5B27"/>
    <w:rsid w:val="00EC0383"/>
    <w:rsid w:val="00ED77D7"/>
    <w:rsid w:val="00EE0A13"/>
    <w:rsid w:val="00F26217"/>
    <w:rsid w:val="00F36E33"/>
    <w:rsid w:val="00F60370"/>
    <w:rsid w:val="00FA0DD5"/>
    <w:rsid w:val="00FC3F75"/>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E746CF"/>
  <w15:docId w15:val="{A8C95E85-7EC6-47CC-BB0F-5AF631F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4C40"/>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 w:type="character" w:customStyle="1" w:styleId="InitialStyle">
    <w:name w:val="InitialStyle"/>
    <w:uiPriority w:val="99"/>
    <w:rsid w:val="00CB4C40"/>
    <w:rPr>
      <w:rFonts w:ascii="Courier New" w:hAnsi="Courier New"/>
      <w:color w:val="000000"/>
      <w:spacing w:val="0"/>
      <w:sz w:val="24"/>
    </w:rPr>
  </w:style>
  <w:style w:type="table" w:styleId="TableGrid">
    <w:name w:val="Table Grid"/>
    <w:basedOn w:val="TableNormal"/>
    <w:uiPriority w:val="59"/>
    <w:rsid w:val="006A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316"/>
    <w:pPr>
      <w:ind w:left="720"/>
      <w:contextualSpacing/>
    </w:pPr>
  </w:style>
  <w:style w:type="paragraph" w:styleId="Header">
    <w:name w:val="header"/>
    <w:basedOn w:val="Normal"/>
    <w:link w:val="HeaderChar"/>
    <w:uiPriority w:val="99"/>
    <w:unhideWhenUsed/>
    <w:rsid w:val="0090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4F"/>
    <w:rPr>
      <w:sz w:val="22"/>
      <w:szCs w:val="22"/>
    </w:rPr>
  </w:style>
  <w:style w:type="paragraph" w:styleId="Footer">
    <w:name w:val="footer"/>
    <w:basedOn w:val="Normal"/>
    <w:link w:val="FooterChar"/>
    <w:uiPriority w:val="99"/>
    <w:unhideWhenUsed/>
    <w:rsid w:val="0090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4F"/>
    <w:rPr>
      <w:sz w:val="22"/>
      <w:szCs w:val="22"/>
    </w:rPr>
  </w:style>
  <w:style w:type="paragraph" w:styleId="BalloonText">
    <w:name w:val="Balloon Text"/>
    <w:basedOn w:val="Normal"/>
    <w:link w:val="BalloonTextChar"/>
    <w:uiPriority w:val="99"/>
    <w:semiHidden/>
    <w:unhideWhenUsed/>
    <w:rsid w:val="00DC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CE"/>
    <w:rPr>
      <w:rFonts w:ascii="Tahoma" w:hAnsi="Tahoma" w:cs="Tahoma"/>
      <w:sz w:val="16"/>
      <w:szCs w:val="16"/>
    </w:rPr>
  </w:style>
  <w:style w:type="character" w:styleId="Strong">
    <w:name w:val="Strong"/>
    <w:basedOn w:val="DefaultParagraphFont"/>
    <w:uiPriority w:val="22"/>
    <w:qFormat/>
    <w:rsid w:val="000238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6203">
      <w:bodyDiv w:val="1"/>
      <w:marLeft w:val="0"/>
      <w:marRight w:val="0"/>
      <w:marTop w:val="0"/>
      <w:marBottom w:val="0"/>
      <w:divBdr>
        <w:top w:val="none" w:sz="0" w:space="0" w:color="auto"/>
        <w:left w:val="none" w:sz="0" w:space="0" w:color="auto"/>
        <w:bottom w:val="none" w:sz="0" w:space="0" w:color="auto"/>
        <w:right w:val="none" w:sz="0" w:space="0" w:color="auto"/>
      </w:divBdr>
    </w:div>
    <w:div w:id="209463794">
      <w:bodyDiv w:val="1"/>
      <w:marLeft w:val="0"/>
      <w:marRight w:val="0"/>
      <w:marTop w:val="0"/>
      <w:marBottom w:val="0"/>
      <w:divBdr>
        <w:top w:val="none" w:sz="0" w:space="0" w:color="auto"/>
        <w:left w:val="none" w:sz="0" w:space="0" w:color="auto"/>
        <w:bottom w:val="none" w:sz="0" w:space="0" w:color="auto"/>
        <w:right w:val="none" w:sz="0" w:space="0" w:color="auto"/>
      </w:divBdr>
    </w:div>
    <w:div w:id="471219456">
      <w:bodyDiv w:val="1"/>
      <w:marLeft w:val="0"/>
      <w:marRight w:val="0"/>
      <w:marTop w:val="0"/>
      <w:marBottom w:val="0"/>
      <w:divBdr>
        <w:top w:val="none" w:sz="0" w:space="0" w:color="auto"/>
        <w:left w:val="none" w:sz="0" w:space="0" w:color="auto"/>
        <w:bottom w:val="none" w:sz="0" w:space="0" w:color="auto"/>
        <w:right w:val="none" w:sz="0" w:space="0" w:color="auto"/>
      </w:divBdr>
    </w:div>
    <w:div w:id="684601327">
      <w:bodyDiv w:val="1"/>
      <w:marLeft w:val="0"/>
      <w:marRight w:val="0"/>
      <w:marTop w:val="0"/>
      <w:marBottom w:val="0"/>
      <w:divBdr>
        <w:top w:val="none" w:sz="0" w:space="0" w:color="auto"/>
        <w:left w:val="none" w:sz="0" w:space="0" w:color="auto"/>
        <w:bottom w:val="none" w:sz="0" w:space="0" w:color="auto"/>
        <w:right w:val="none" w:sz="0" w:space="0" w:color="auto"/>
      </w:divBdr>
    </w:div>
    <w:div w:id="956256023">
      <w:bodyDiv w:val="1"/>
      <w:marLeft w:val="0"/>
      <w:marRight w:val="0"/>
      <w:marTop w:val="0"/>
      <w:marBottom w:val="0"/>
      <w:divBdr>
        <w:top w:val="none" w:sz="0" w:space="0" w:color="auto"/>
        <w:left w:val="none" w:sz="0" w:space="0" w:color="auto"/>
        <w:bottom w:val="none" w:sz="0" w:space="0" w:color="auto"/>
        <w:right w:val="none" w:sz="0" w:space="0" w:color="auto"/>
      </w:divBdr>
    </w:div>
    <w:div w:id="1038437341">
      <w:bodyDiv w:val="1"/>
      <w:marLeft w:val="0"/>
      <w:marRight w:val="0"/>
      <w:marTop w:val="0"/>
      <w:marBottom w:val="0"/>
      <w:divBdr>
        <w:top w:val="none" w:sz="0" w:space="0" w:color="auto"/>
        <w:left w:val="none" w:sz="0" w:space="0" w:color="auto"/>
        <w:bottom w:val="none" w:sz="0" w:space="0" w:color="auto"/>
        <w:right w:val="none" w:sz="0" w:space="0" w:color="auto"/>
      </w:divBdr>
    </w:div>
    <w:div w:id="1265697341">
      <w:bodyDiv w:val="1"/>
      <w:marLeft w:val="0"/>
      <w:marRight w:val="0"/>
      <w:marTop w:val="0"/>
      <w:marBottom w:val="0"/>
      <w:divBdr>
        <w:top w:val="none" w:sz="0" w:space="0" w:color="auto"/>
        <w:left w:val="none" w:sz="0" w:space="0" w:color="auto"/>
        <w:bottom w:val="none" w:sz="0" w:space="0" w:color="auto"/>
        <w:right w:val="none" w:sz="0" w:space="0" w:color="auto"/>
      </w:divBdr>
    </w:div>
    <w:div w:id="1302926977">
      <w:bodyDiv w:val="1"/>
      <w:marLeft w:val="0"/>
      <w:marRight w:val="0"/>
      <w:marTop w:val="0"/>
      <w:marBottom w:val="0"/>
      <w:divBdr>
        <w:top w:val="none" w:sz="0" w:space="0" w:color="auto"/>
        <w:left w:val="none" w:sz="0" w:space="0" w:color="auto"/>
        <w:bottom w:val="none" w:sz="0" w:space="0" w:color="auto"/>
        <w:right w:val="none" w:sz="0" w:space="0" w:color="auto"/>
      </w:divBdr>
    </w:div>
    <w:div w:id="1374884052">
      <w:bodyDiv w:val="1"/>
      <w:marLeft w:val="0"/>
      <w:marRight w:val="0"/>
      <w:marTop w:val="0"/>
      <w:marBottom w:val="0"/>
      <w:divBdr>
        <w:top w:val="none" w:sz="0" w:space="0" w:color="auto"/>
        <w:left w:val="none" w:sz="0" w:space="0" w:color="auto"/>
        <w:bottom w:val="none" w:sz="0" w:space="0" w:color="auto"/>
        <w:right w:val="none" w:sz="0" w:space="0" w:color="auto"/>
      </w:divBdr>
    </w:div>
    <w:div w:id="1412577701">
      <w:bodyDiv w:val="1"/>
      <w:marLeft w:val="0"/>
      <w:marRight w:val="0"/>
      <w:marTop w:val="0"/>
      <w:marBottom w:val="0"/>
      <w:divBdr>
        <w:top w:val="none" w:sz="0" w:space="0" w:color="auto"/>
        <w:left w:val="none" w:sz="0" w:space="0" w:color="auto"/>
        <w:bottom w:val="none" w:sz="0" w:space="0" w:color="auto"/>
        <w:right w:val="none" w:sz="0" w:space="0" w:color="auto"/>
      </w:divBdr>
    </w:div>
    <w:div w:id="1654674676">
      <w:bodyDiv w:val="1"/>
      <w:marLeft w:val="0"/>
      <w:marRight w:val="0"/>
      <w:marTop w:val="0"/>
      <w:marBottom w:val="0"/>
      <w:divBdr>
        <w:top w:val="none" w:sz="0" w:space="0" w:color="auto"/>
        <w:left w:val="none" w:sz="0" w:space="0" w:color="auto"/>
        <w:bottom w:val="none" w:sz="0" w:space="0" w:color="auto"/>
        <w:right w:val="none" w:sz="0" w:space="0" w:color="auto"/>
      </w:divBdr>
    </w:div>
    <w:div w:id="17590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52698-D041-4FEC-B08C-DBCD524F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Beghin</dc:creator>
  <cp:lastModifiedBy>Kerry Beghin</cp:lastModifiedBy>
  <cp:revision>15</cp:revision>
  <cp:lastPrinted>2021-02-10T22:10:00Z</cp:lastPrinted>
  <dcterms:created xsi:type="dcterms:W3CDTF">2021-01-25T17:48:00Z</dcterms:created>
  <dcterms:modified xsi:type="dcterms:W3CDTF">2021-02-10T22:30:00Z</dcterms:modified>
</cp:coreProperties>
</file>